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21da4835bba0082ba381f4e356a729b033b70"/>
    <w:p>
      <w:pPr>
        <w:pStyle w:val="Heading3"/>
      </w:pPr>
      <w:r>
        <w:t xml:space="preserve">Заключение по результатам публичных слушаний по проекту «Материалы по обоснованию Градостроительного плана земельного участка (ГПЗУ) для осуществления строительства культурно-развлекательного комплекса по адресу: Новокосинская ул., вл.30/6»</w:t>
      </w:r>
    </w:p>
    <w:p>
      <w:pPr>
        <w:pStyle w:val="FirstParagraph"/>
      </w:pPr>
      <w:r>
        <w:t xml:space="preserve">30.12.2013</w:t>
      </w:r>
    </w:p>
    <w:p>
      <w:pPr>
        <w:pStyle w:val="BodyText"/>
      </w:pPr>
      <w:r>
        <w:t xml:space="preserve">Все подробности в документах ниже.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http://novokosino.mos.ru/public-hearings/conclusion-according-to-the-results-of-public-hearings/detail/1535653.html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ublic-hearings/conclusion-according-to-the-results-of-public-hearings/detail/1535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ublic-hearings/conclusion-according-to-the-results-of-public-hearings/detail/1535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2024-09-21T17:59:36Z</dcterms:created>
  <dcterms:modified xsi:type="dcterms:W3CDTF">2024-09-21T17:59:36Z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