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702e10b420b499e58b8dd5e2815fa70f5e43e"/>
    <w:p>
      <w:pPr>
        <w:pStyle w:val="Heading3"/>
      </w:pPr>
      <w:r>
        <w:t xml:space="preserve">СТРЕЛЕЦ – МОНИТОРИНГ – ВАША БЕЗОПАСНОСТЬ В ВАШИХ РУКАХ!</w:t>
      </w:r>
    </w:p>
    <w:p>
      <w:pPr>
        <w:pStyle w:val="FirstParagraph"/>
      </w:pPr>
      <w:r>
        <w:t xml:space="preserve">02.04.2014</w:t>
      </w:r>
    </w:p>
    <w:p>
      <w:pPr>
        <w:pStyle w:val="BodyText"/>
      </w:pPr>
      <w:r>
        <w:t xml:space="preserve">В соответствии с Федеральным законом № 117 – ФЗ, с июля 2014 года вступают в законную силу изменения пункта «е» статьи 83 Федерального закона № 123 «Технический регламент о требованиях пожарной безопасности».</w:t>
      </w:r>
    </w:p>
    <w:p>
      <w:pPr>
        <w:pStyle w:val="BodyText"/>
      </w:pPr>
      <w:r>
        <w:t xml:space="preserve">Данные изменения вводят обязательное требование для определенных категорий объектов передачи извещения о пожаре напрямую в подразделения пожарной охраны по выделенному радиоканалу или другим линиям связи в автоматическом режиме, без участия персонала объектов и организаций, транслирующих этот сигнал. В эту категорию объектов входят детские сады, специализированные дома престарелых и инвалидов, больницы, спальные корпуса интернатов, детские учреждения, гостиницы, общежития, спальные корпуса санаториев, пансионаты, школы, ПТУ и ВУЗы.</w:t>
      </w:r>
      <w:r>
        <w:br/>
      </w:r>
    </w:p>
    <w:p>
      <w:pPr>
        <w:pStyle w:val="BodyText"/>
      </w:pPr>
      <w:r>
        <w:drawing>
          <wp:inline>
            <wp:extent cx="5334000" cy="36410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32e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1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Призываем активизировать оборудование этой системы на объектах округа!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http://novokosino.mos.ru/presscenter/news/detail/994289.html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994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994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2025-08-06T05:55:20Z</dcterms:created>
  <dcterms:modified xsi:type="dcterms:W3CDTF">2025-08-06T05:55:20Z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