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abe7e963f8aaeed122cbdf31df0c54b828e05"/>
    <w:p>
      <w:pPr>
        <w:pStyle w:val="Heading3"/>
      </w:pPr>
      <w:r>
        <w:t xml:space="preserve">В районе Новокосино высадили около четырех тысяч кустарников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В районе Новокосино по трем адресам: ул. Новокосинская, д. 17, корп. 7; ул. Салтыковская, д. 33 и ул. Городецкая, д. 3 высадили кустарники.</w:t>
      </w:r>
    </w:p>
    <w:p>
      <w:pPr>
        <w:pStyle w:val="BodyText"/>
      </w:pPr>
      <w:r>
        <w:t xml:space="preserve">В общей сложности по этим адресам было высажено 1280 кустарников в виде живой изгороди.</w:t>
      </w:r>
    </w:p>
    <w:p>
      <w:pPr>
        <w:pStyle w:val="BodyText"/>
      </w:pPr>
      <w:r>
        <w:t xml:space="preserve">Всего столичный департамент природопользования и охраны окружающей среды высадил этой осенью на 10 дворовых территориях района Новокосино 3930 кустарников — кизильника блестящего.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http://novokosino.mos.ru/presscenter/news/detail/9461861.html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461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461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2025-08-05T22:19:17Z</dcterms:created>
  <dcterms:modified xsi:type="dcterms:W3CDTF">2025-08-05T22:19:17Z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