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983cb11895725961f33e4ce435c72645254e9"/>
    <w:p>
      <w:pPr>
        <w:pStyle w:val="Heading3"/>
      </w:pPr>
      <w:r>
        <w:t xml:space="preserve">Антипарковочные столбики появились перед тротуаром на Салтыковской улице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t xml:space="preserve">Сотрудники ГБУ «Жилищник района Новокосино» установили антипарковочные столбики на Салтыковской улице.</w:t>
      </w:r>
    </w:p>
    <w:p>
      <w:pPr>
        <w:pStyle w:val="BodyText"/>
      </w:pPr>
      <w:r>
        <w:t xml:space="preserve">С такой просьбой обратились местные жители. Теперь автомашины уже не смогут заезжать на тротуар и газон в конце аллеи на съезде к поликлиникам.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http://novokosino.mos.ru/presscenter/news/detail/9213346.html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213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213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2025-07-20T21:04:11Z</dcterms:created>
  <dcterms:modified xsi:type="dcterms:W3CDTF">2025-07-20T21:04:11Z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