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7aa8657bee2d26c232312254ebaff8a02899a"/>
    <w:p>
      <w:pPr>
        <w:pStyle w:val="Heading3"/>
      </w:pPr>
      <w:r>
        <w:t xml:space="preserve">На Суздальской улице отремонтировали газон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t xml:space="preserve">Коммунальные службы района Новокосино отремонтировали газон на Суздальской улице.</w:t>
      </w:r>
    </w:p>
    <w:p>
      <w:pPr>
        <w:pStyle w:val="BodyText"/>
      </w:pPr>
      <w:r>
        <w:t xml:space="preserve">О проблеме на портал «Наш город» сообщила местная жительница.</w:t>
      </w:r>
    </w:p>
    <w:p>
      <w:pPr>
        <w:pStyle w:val="BodyText"/>
      </w:pPr>
      <w:r>
        <w:t xml:space="preserve">«По указанному адресу в местах отсутствия травяного покрова выполнены работы по рекультивации, завозу плодородного грунта с подсевом семян газонной травы», — поясняется в официальном ответе руководства ГБУ «Жилищник района Новокосино».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http://novokosino.mos.ru/presscenter/news/detail/9132253.html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32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32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2024-08-13T19:37:25Z</dcterms:created>
  <dcterms:modified xsi:type="dcterms:W3CDTF">2024-08-13T19:37:25Z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