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2417ec5f48e87c36b72f8ddd5c81ab140f8fc"/>
    <w:p>
      <w:pPr>
        <w:pStyle w:val="Heading3"/>
      </w:pPr>
      <w:r>
        <w:t xml:space="preserve">21 августа состоялась встреча главы управы района Новокосино Н.П.Артамошиной с жителями района.</w:t>
      </w:r>
    </w:p>
    <w:p>
      <w:pPr>
        <w:pStyle w:val="FirstParagraph"/>
      </w:pPr>
      <w:r>
        <w:t xml:space="preserve">24.08.2013</w:t>
      </w:r>
    </w:p>
    <w:p>
      <w:pPr>
        <w:pStyle w:val="BodyText"/>
      </w:pPr>
      <w:r>
        <w:t xml:space="preserve">21 августа состоялась встреча главы управы района Новокосино Н.П.Артамошиной с жителями района. Предлагаем Вашему вниманию видеопротокол встречи.</w:t>
      </w: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resize_cache/iblock/03a/140_110_2/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http://novokosino.mos.ru/presscenter/news/detail/814317.html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814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814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2025-08-05T22:19:23Z</dcterms:created>
  <dcterms:modified xsi:type="dcterms:W3CDTF">2025-08-05T22:19:23Z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