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b90104d4f791962ce92b968d6ccd644a60d6a"/>
    <w:p>
      <w:pPr>
        <w:pStyle w:val="Heading3"/>
      </w:pPr>
      <w:r>
        <w:t xml:space="preserve">В связи с праздничным днём 4 ноября, выдача пенсий будет осуществляться по следующему графику:</w:t>
      </w:r>
    </w:p>
    <w:p>
      <w:pPr>
        <w:pStyle w:val="FirstParagraph"/>
      </w:pPr>
      <w:r>
        <w:t xml:space="preserve">14.10.2014</w:t>
      </w:r>
    </w:p>
    <w:p>
      <w:pPr>
        <w:pStyle w:val="BodyText"/>
      </w:pPr>
      <w:r>
        <w:t xml:space="preserve">ГУ – Главное управление ПФР № 7 по г. Москве и Московской области доводит до сведения жителей ВАО г. Москвы, что доставка и выплата пенсии через отделения почтовой связи УФПС г. Москвы - филиал ФГУП «Почта России», в связи с праздничным днём 4 ноября 2014 года, будет осуществляться по следующему графику:</w:t>
      </w:r>
    </w:p>
    <w:p>
      <w:pPr>
        <w:pStyle w:val="BodyText"/>
      </w:pPr>
      <w:r>
        <w:t xml:space="preserve">1 ноября 2014 года – за 2 ноября 2014 года;</w:t>
      </w:r>
    </w:p>
    <w:p>
      <w:pPr>
        <w:pStyle w:val="BodyText"/>
      </w:pPr>
      <w:r>
        <w:t xml:space="preserve">3 ноября 2014 года – за 3 и 4 ноября 2014 года;</w:t>
      </w:r>
    </w:p>
    <w:p>
      <w:pPr>
        <w:pStyle w:val="BodyText"/>
      </w:pPr>
      <w:r>
        <w:t xml:space="preserve">с 5 ноября 2014 года – по установленному графику.</w:t>
      </w:r>
    </w:p>
    <w:p>
      <w:pPr>
        <w:pStyle w:val="BodyText"/>
      </w:pPr>
      <w:r>
        <w:t xml:space="preserve">Финансово – кредитные учреждения - Банк Москвы, Банк Возрождение - с 31 октября 2014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http://novokosino.mos.ru/presscenter/news/detail/1347504.html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47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47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2025-08-05T22:19:23Z</dcterms:created>
  <dcterms:modified xsi:type="dcterms:W3CDTF">2025-08-05T22:19:23Z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