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3e4e18e9d6c9150c165249a9d2affdc84159b"/>
    <w:p>
      <w:pPr>
        <w:pStyle w:val="Heading3"/>
      </w:pPr>
      <w:r>
        <w:t xml:space="preserve">Вступил в силу Технический регламент Таможенного союза «О безопасности пищевой продукции»</w:t>
      </w:r>
    </w:p>
    <w:p>
      <w:pPr>
        <w:pStyle w:val="FirstParagraph"/>
      </w:pPr>
      <w:r>
        <w:t xml:space="preserve">13.10.2014</w:t>
      </w:r>
    </w:p>
    <w:p>
      <w:pPr>
        <w:pStyle w:val="BodyText"/>
      </w:pPr>
      <w:r>
        <w:t xml:space="preserve">С 01.07.2013 вступил в силу Технический регламент Таможенного союза «О безопасности пищевой продукции» ТР ТС 021/2011.</w:t>
      </w:r>
    </w:p>
    <w:p>
      <w:pPr>
        <w:pStyle w:val="BodyText"/>
      </w:pPr>
      <w:r>
        <w:t xml:space="preserve">Его целями являются защита жизни и (или) здоровья людей; предупреждение действий, вводящих в заблуждение потребителей; защита окружающей среды.</w:t>
      </w:r>
    </w:p>
    <w:p>
      <w:pPr>
        <w:pStyle w:val="BodyText"/>
      </w:pPr>
      <w:r>
        <w:t xml:space="preserve">Объектами технического регулирования данного технического регламента являются:</w:t>
      </w:r>
    </w:p>
    <w:p>
      <w:pPr>
        <w:pStyle w:val="BodyText"/>
      </w:pPr>
      <w:r>
        <w:t xml:space="preserve">-пищевая продукция;</w:t>
      </w:r>
    </w:p>
    <w:p>
      <w:pPr>
        <w:pStyle w:val="BodyText"/>
      </w:pPr>
      <w:r>
        <w:t xml:space="preserve">-связанные с требованиями к пищевой продукции процессы производства (изготовления), хранения, перевозки (транспортирования), реализации и утилизации.</w:t>
      </w:r>
    </w:p>
    <w:p>
      <w:pPr>
        <w:pStyle w:val="BodyText"/>
      </w:pPr>
      <w:r>
        <w:t xml:space="preserve">С вступлением в силу указанного технического регламента пищевая продукция, соответствующая его требованиям, а также требованиям иных технических регламентов Таможенного союза, действие которых на нее распространяется, и прошедшая оценку (подтверждение) соответствия, маркируется единым знаком обращения продукции на рынке государств-членов Таможенного союза.</w:t>
      </w:r>
    </w:p>
    <w:p>
      <w:pPr>
        <w:pStyle w:val="BodyText"/>
      </w:pPr>
      <w:r>
        <w:t xml:space="preserve">Оценка (подтверждение) соответствия продукции техническому регламенту проводится в следующих формах:</w:t>
      </w:r>
    </w:p>
    <w:p>
      <w:pPr>
        <w:pStyle w:val="BodyText"/>
      </w:pPr>
      <w:r>
        <w:t xml:space="preserve">-подтверждение (декларирование) соответствия пищевой продукции;</w:t>
      </w:r>
    </w:p>
    <w:p>
      <w:pPr>
        <w:pStyle w:val="BodyText"/>
      </w:pPr>
      <w:r>
        <w:t xml:space="preserve">-государственная регистрация специализированной пищевой продукции;</w:t>
      </w:r>
    </w:p>
    <w:p>
      <w:pPr>
        <w:pStyle w:val="BodyText"/>
      </w:pPr>
      <w:r>
        <w:t xml:space="preserve">-государственная регистрация пищевой продукции нового вида;</w:t>
      </w:r>
    </w:p>
    <w:p>
      <w:pPr>
        <w:pStyle w:val="BodyText"/>
      </w:pPr>
      <w:r>
        <w:t xml:space="preserve">-ветеринарно-санитарная экспертиза.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http://novokosino.mos.ru/presscenter/news/detail/1343949.html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43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43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2024-05-24T11:02:26Z</dcterms:created>
  <dcterms:modified xsi:type="dcterms:W3CDTF">2024-05-24T11:02:26Z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