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bd0e69138fc407b430c8b0b491b87ebdafc7a"/>
    <w:p>
      <w:pPr>
        <w:pStyle w:val="Heading3"/>
      </w:pPr>
      <w:r>
        <w:t xml:space="preserve">С 28 августа вы сможете принять участие в опросе "Активный гражданин", который повлияет на выпуск местных газет в 2015 году.</w:t>
      </w:r>
    </w:p>
    <w:p>
      <w:pPr>
        <w:pStyle w:val="FirstParagraph"/>
      </w:pPr>
      <w:r>
        <w:t xml:space="preserve">22.08.2014</w:t>
      </w:r>
    </w:p>
    <w:p>
      <w:pPr>
        <w:pStyle w:val="BodyText"/>
      </w:pPr>
      <w:r>
        <w:t xml:space="preserve">В настоящий момент в округе одна окружная и 16 районных газет издаются силами 7 различных редакционных коллективов.</w:t>
      </w:r>
      <w:r>
        <w:br/>
      </w:r>
      <w:r>
        <w:t xml:space="preserve">С одной стороны это является положительным моментом, поскольку приводит к стилистическому разнообразию районных изданий, а также является в определенной степени источником творческой конкуренции между редакционными коллективами. Газета каждого района имеет свое узнаваемое лицо и ориентируется на демографическую специфику жителей своего района.</w:t>
      </w:r>
      <w:r>
        <w:br/>
      </w:r>
      <w:r>
        <w:t xml:space="preserve">С другой стороны, издание газет одной редакцией может стать источником дополнительной экономии за счет минимизации обслуживания административных отделов редакций. Единая редакция будет обеспечивать «стандартизацию» общегородской и общеокружной информации, связанной с освещением деятельности Мэра Москвы и реализацией общегородских программ, что обеспечит единое информационное поле для жителей районов.</w:t>
      </w:r>
      <w:r>
        <w:br/>
      </w:r>
      <w:r>
        <w:t xml:space="preserve">Опрос в системе "Активный гражданин" стартует 28 августа и продлится до 11 сентября. Приглашаем вас принять активное участие!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http://novokosino.mos.ru/presscenter/news/detail/1223263.html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23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23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2024-07-10T03:57:22Z</dcterms:created>
  <dcterms:modified xsi:type="dcterms:W3CDTF">2024-07-10T03:57:22Z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