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87d26dec3ed3308dd0e017cce1d2204568259"/>
    <w:p>
      <w:pPr>
        <w:pStyle w:val="Heading3"/>
      </w:pPr>
      <w:r>
        <w:t xml:space="preserve">В подъезде дома на Салтыковской улице восстановили освещение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дома 3/17 на Салтыковской улице пожаловался на проблемы с освещением на шестом этаже во втором подъезде.</w:t>
      </w:r>
    </w:p>
    <w:p>
      <w:pPr>
        <w:pStyle w:val="BodyText"/>
      </w:pPr>
      <w:r>
        <w:t xml:space="preserve">— По указанному адресу освещение восстановлено, — рассказали в ГБУ «Жилищник района Новокосино».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http://novokosino.mos.ru/presscenter/news/detail/10434226.html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34226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34226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2025-07-24T09:14:03Z</dcterms:created>
  <dcterms:modified xsi:type="dcterms:W3CDTF">2025-07-24T09:14:03Z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