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d2ada4ff061d055e584c572a413b3d0fa30f22"/>
    <w:p>
      <w:pPr>
        <w:pStyle w:val="Heading3"/>
      </w:pPr>
      <w:r>
        <w:t xml:space="preserve">30 апреля 2014 года состоится Единый день открытых дверей во всех пожарных частях Восточного административного округа, приуроченный к празднованию 365-летия Пожарной охраны России.</w:t>
      </w:r>
    </w:p>
    <w:p>
      <w:pPr>
        <w:pStyle w:val="FirstParagraph"/>
      </w:pPr>
      <w:r>
        <w:t xml:space="preserve">25.04.2014</w:t>
      </w:r>
    </w:p>
    <w:p>
      <w:pPr>
        <w:pStyle w:val="BodyText"/>
      </w:pPr>
      <w:r>
        <w:rPr>
          <w:bCs/>
          <w:b/>
        </w:rPr>
        <w:t xml:space="preserve">30 апреля 2014 года</w:t>
      </w:r>
      <w:r>
        <w:t xml:space="preserve"> </w:t>
      </w:r>
      <w:r>
        <w:t xml:space="preserve">состоится Единый день открытых дверей во всех пожарных частях Восточного административного округа, приуроченный к празднованию 365-летия Пожарной охраны России.</w:t>
      </w:r>
    </w:p>
    <w:p>
      <w:pPr>
        <w:pStyle w:val="BodyText"/>
      </w:pPr>
      <w:r>
        <w:t xml:space="preserve">Всем желающим представиться уникальная возможность ознакомиться с пожарно – спасательной техникой и работой пожарных подразделений. Сотрудники МЧС будут рады провести экскурсию по помещениям пожарной части и пообщаться с гостями.</w:t>
      </w:r>
    </w:p>
    <w:p>
      <w:pPr>
        <w:pStyle w:val="BodyText"/>
      </w:pPr>
      <w:r>
        <w:t xml:space="preserve">Приглашаем взрослых и детей посетить пожарные части ВАО г. Москвы!</w:t>
      </w:r>
    </w:p>
    <w:p>
      <w:pPr>
        <w:pStyle w:val="BodyText"/>
      </w:pPr>
      <w:r>
        <w:rPr>
          <w:bCs/>
          <w:b/>
        </w:rPr>
        <w:t xml:space="preserve">Адреса пожарных частей:</w:t>
      </w:r>
    </w:p>
    <w:p>
      <w:pPr>
        <w:pStyle w:val="BodyText"/>
      </w:pPr>
      <w:r>
        <w:rPr>
          <w:bCs/>
          <w:b/>
        </w:rPr>
        <w:t xml:space="preserve">5 ПЧ - ул.2-я Владимирская д. 14</w:t>
      </w:r>
      <w:r>
        <w:br/>
      </w:r>
    </w:p>
    <w:p>
      <w:pPr>
        <w:pStyle w:val="BodyText"/>
      </w:pPr>
      <w:r>
        <w:rPr>
          <w:bCs/>
          <w:b/>
        </w:rPr>
        <w:t xml:space="preserve">46 ПЧ - ул. 9 Мая, д.2</w:t>
      </w:r>
    </w:p>
    <w:p>
      <w:pPr>
        <w:pStyle w:val="BodyText"/>
      </w:pPr>
      <w:r>
        <w:rPr>
          <w:bCs/>
          <w:b/>
        </w:rPr>
        <w:t xml:space="preserve">12ПЧ - ул. Русаковская д. 26</w:t>
      </w:r>
      <w:r>
        <w:br/>
      </w:r>
    </w:p>
    <w:p>
      <w:pPr>
        <w:pStyle w:val="BodyText"/>
      </w:pPr>
      <w:r>
        <w:rPr>
          <w:bCs/>
          <w:b/>
        </w:rPr>
        <w:t xml:space="preserve">71 ПЧ - ул. Молостовых, д. 11</w:t>
      </w:r>
    </w:p>
    <w:p>
      <w:pPr>
        <w:pStyle w:val="BodyText"/>
      </w:pPr>
      <w:r>
        <w:rPr>
          <w:bCs/>
          <w:b/>
        </w:rPr>
        <w:t xml:space="preserve">15 ПЧ - ул. Семеновский вал, д. 8</w:t>
      </w:r>
      <w:r>
        <w:br/>
      </w:r>
    </w:p>
    <w:p>
      <w:pPr>
        <w:pStyle w:val="BodyText"/>
      </w:pPr>
      <w:r>
        <w:rPr>
          <w:bCs/>
          <w:b/>
        </w:rPr>
        <w:t xml:space="preserve">74 ПЧ - ул. Салтыковская, д. 18</w:t>
      </w:r>
    </w:p>
    <w:p>
      <w:pPr>
        <w:pStyle w:val="BodyText"/>
      </w:pPr>
      <w:r>
        <w:rPr>
          <w:bCs/>
          <w:b/>
        </w:rPr>
        <w:t xml:space="preserve">18 ПЧ - ул. Николая Химушина, д. 1</w:t>
      </w:r>
      <w:r>
        <w:br/>
      </w:r>
    </w:p>
    <w:p>
      <w:pPr>
        <w:pStyle w:val="BodyText"/>
      </w:pPr>
      <w:r>
        <w:rPr>
          <w:bCs/>
          <w:b/>
        </w:rPr>
        <w:t xml:space="preserve">110 ПЧ - ул. Реутовская, д. 5</w:t>
      </w:r>
    </w:p>
    <w:p>
      <w:pPr>
        <w:pStyle w:val="BodyText"/>
      </w:pPr>
      <w:r>
        <w:rPr>
          <w:bCs/>
          <w:b/>
        </w:rPr>
        <w:t xml:space="preserve">22ПЧ - ул. Краснобогатырская, д. 6А</w:t>
      </w:r>
      <w:r>
        <w:br/>
      </w:r>
    </w:p>
    <w:p>
      <w:pPr>
        <w:pStyle w:val="BodyText"/>
      </w:pPr>
      <w:r>
        <w:rPr>
          <w:bCs/>
          <w:b/>
        </w:rPr>
        <w:t xml:space="preserve">122 ПЧ - ул. Курганская, д. 9</w:t>
      </w:r>
    </w:p>
    <w:p>
      <w:pPr>
        <w:pStyle w:val="BodyText"/>
      </w:pPr>
      <w:r>
        <w:rPr>
          <w:bCs/>
          <w:b/>
        </w:rPr>
        <w:t xml:space="preserve">26 ПЧ - ул. 3-я Парковая, д. 42</w:t>
      </w:r>
    </w:p>
    <w:p>
      <w:pPr>
        <w:pStyle w:val="BodyText"/>
      </w:pPr>
      <w:r>
        <w:rPr>
          <w:bCs/>
          <w:b/>
        </w:rPr>
        <w:t xml:space="preserve">Дата и время проведения: 30 апреля 2014 года, 14:00 - 16:00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http://novokosino.mos.ru/presscenter/news/detail/1015720.html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10157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10157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2025-06-06T07:02:24Z</dcterms:created>
  <dcterms:modified xsi:type="dcterms:W3CDTF">2025-06-06T07:02:24Z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