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986fef22e594714555441c3ddc59451a1bc24"/>
    <w:p>
      <w:pPr>
        <w:pStyle w:val="Heading3"/>
      </w:pPr>
      <w:r>
        <w:t xml:space="preserve">В подъезде дома на Новокосинской улице отремонтировали окно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br/>
      </w:r>
      <w:r>
        <w:t xml:space="preserve">Работники ГБУ «Жилищник района Новокосино» привели в порядок окно на 17 этаже дома 40 на Новокосинской улице.</w:t>
      </w:r>
    </w:p>
    <w:p>
      <w:pPr>
        <w:pStyle w:val="BodyText"/>
      </w:pPr>
      <w:r>
        <w:t xml:space="preserve">— По указанному адресу выполнены работы по закреплению оконного блока. Окно находится в технически исправном состоянии, открывается легко, закрывается плотно. Также выполнены работы по ремонту подоконника, — рассказали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http://novokosino.mos.ru/presscenter/news/detail/10140555.html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140555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140555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2025-01-29T04:18:51Z</dcterms:created>
  <dcterms:modified xsi:type="dcterms:W3CDTF">2025-01-29T04:18:51Z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