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89b01a1539cd04ca50522bf7e133c4f89f596"/>
    <w:p>
      <w:pPr>
        <w:pStyle w:val="Heading3"/>
      </w:pPr>
      <w:r>
        <w:t xml:space="preserve">Участники "Активного гражданина" получат консультацию по выбору счета для капремонта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hyperlink r:id="rId20">
        <w:r>
          <w:rPr>
            <w:rStyle w:val="Hyperlink"/>
          </w:rPr>
          <w:t xml:space="preserve">Список многоквартирных домов Восточного административного округа города Москвы, собственники которых получат консультацию от территориальных органов власти по выбору счета накопления средств для капитального ремонта дома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http://novokosino.mos.ru/overhaul/news-on-major-repairs/detail/2470698.html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2;&#1040;&#1054;.xlsx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2470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2;&#1040;&#1054;.xlsx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2470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2025-08-02T20:52:42Z</dcterms:created>
  <dcterms:modified xsi:type="dcterms:W3CDTF">2025-08-02T20:52:42Z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