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cd4b7c84681359ae5f541ee4940423d1100cc"/>
    <w:p>
      <w:pPr>
        <w:pStyle w:val="Heading3"/>
      </w:pPr>
      <w:r>
        <w:t xml:space="preserve">В Едином платежном документе за июль появится новая строка расходов – капитальный ремонт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С июля 2015 года в соответствии с нормами жилищного кодекса у собственников помещения в многоквартирных домах появится обязанность ежемесячно уплачивать взносы на капитальный ремонт.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407/15_06_02_mfc_objyavlenie_kap_remont_4_01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http://novokosino.mos.ru/overhaul/news-on-major-repairs/detail/1912628.html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overhaul/news-on-major-repairs/detail/1912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overhaul/news-on-major-repairs/detail/1912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2025-01-07T21:00:22Z</dcterms:created>
  <dcterms:modified xsi:type="dcterms:W3CDTF">2025-01-07T21:00:22Z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