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9ff4a517967d9b374320d7f57ea823f91edc4"/>
    <w:p>
      <w:pPr>
        <w:pStyle w:val="Heading3"/>
      </w:pPr>
      <w:r>
        <w:t xml:space="preserve">«Арбитражным судом г. Москвы Общество и его генаральный директор признаны виновными в совершении административного правонарушения, предусмотренного ч. 2 ст. 7.24 КоАП РФ (использование находящегося в федеральной собственности объекта нежилого фонда без на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проведения проверка соблюдения федерального законодательства</w:t>
      </w:r>
    </w:p>
    <w:p>
      <w:pPr>
        <w:pStyle w:val="BodyText"/>
      </w:pPr>
      <w:r>
        <w:t xml:space="preserve">при использовании федерального имущества.</w:t>
      </w:r>
    </w:p>
    <w:p>
      <w:pPr>
        <w:pStyle w:val="BodyText"/>
      </w:pPr>
      <w:r>
        <w:t xml:space="preserve">По результатам проверки установлено, что Обществом без согласия собственника и надлежаще оформленных документов используется находящийся в федеральной собственности объект нежилого фонда.</w:t>
      </w:r>
    </w:p>
    <w:p>
      <w:pPr>
        <w:pStyle w:val="BodyText"/>
      </w:pPr>
      <w:r>
        <w:t xml:space="preserve">В связи с указанными обстоятельствами прокуратурой в отношении Общества и его генерального директора возбуждены дела</w:t>
      </w:r>
    </w:p>
    <w:p>
      <w:pPr>
        <w:pStyle w:val="BodyText"/>
      </w:pPr>
      <w:r>
        <w:t xml:space="preserve">об административном правонарушении, предусмотренном</w:t>
      </w:r>
    </w:p>
    <w:p>
      <w:pPr>
        <w:pStyle w:val="BodyText"/>
      </w:pPr>
      <w:r>
        <w:t xml:space="preserve">ч. 2 ст. 7.24 КоАП РФ, в Арбитражный суд г. Москвы направлены заявления о привлечении лиц к административной ответственности.</w:t>
      </w:r>
    </w:p>
    <w:p>
      <w:pPr>
        <w:pStyle w:val="BodyText"/>
      </w:pPr>
      <w:r>
        <w:t xml:space="preserve">Арбитражным судом г. Москвы заявления прокуратуры удовлетворены, ответчики привлечены к административной ответственности: Обществу назначено наказание в виде административного штрафа в размере 20 000 рублей, генеральному директору – в размере 2 000 руб.».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2025-07-24T00:11:00Z</dcterms:created>
  <dcterms:modified xsi:type="dcterms:W3CDTF">2025-07-24T00:11:00Z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