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aebdfe089db55fbcc1509fcf5cd413bc517c2"/>
    <w:p>
      <w:pPr>
        <w:pStyle w:val="Heading3"/>
      </w:pPr>
      <w:r>
        <w:t xml:space="preserve">«Прокуратурой утверждено обвинительное заключение в отношении лица, совершившего уклонение от уплаты налогов.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Органами предварительного расследования установлено, что житель Москвы, являясь генеральным директором Общества, действуя</w:t>
      </w:r>
    </w:p>
    <w:p>
      <w:pPr>
        <w:pStyle w:val="BodyText"/>
      </w:pPr>
      <w:r>
        <w:t xml:space="preserve">во исполнение своего преступного умысла, направленного на уклонение</w:t>
      </w:r>
    </w:p>
    <w:p>
      <w:pPr>
        <w:pStyle w:val="BodyText"/>
      </w:pPr>
      <w:r>
        <w:t xml:space="preserve">от уплаты налогов с организации в особо крупном размере, используя реквизиты фиктивных организаций отразил в регистрах бухгалтерского учета и налоговых декларациях за 2018 года ложные сведения, касающиеся расходов по взаимоотношениям с другими организациями, и в дальнейшем представил их в налоговый орган, то есть совершил преступление, предусмотренное п. «б» ч. 2 ст. 199 УК РФ.</w:t>
      </w:r>
    </w:p>
    <w:p>
      <w:pPr>
        <w:pStyle w:val="BodyText"/>
      </w:pPr>
      <w:r>
        <w:t xml:space="preserve">Действиями обвиняемого бюджету Российской Федерации причинен ущерб в размере более 67 млн. руб.</w:t>
      </w:r>
    </w:p>
    <w:p>
      <w:pPr>
        <w:pStyle w:val="BodyText"/>
      </w:pPr>
      <w:r>
        <w:t xml:space="preserve">Прокуратурой Восточного административного округа г. Москвы принято решение об утверждении обвинительного заключения в отношении генерального директора Общества, уголовное дело направлено в суд</w:t>
      </w:r>
    </w:p>
    <w:p>
      <w:pPr>
        <w:pStyle w:val="BodyText"/>
      </w:pPr>
      <w:r>
        <w:t xml:space="preserve">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http://novokosino.mos.ru/the-prosecutor-explained/detail/13056289.html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5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2025-07-20T06:26:54Z</dcterms:created>
  <dcterms:modified xsi:type="dcterms:W3CDTF">2025-07-20T06:26:54Z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