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ec43a28f00752732299712a05587842d42fc6"/>
    <w:p>
      <w:pPr>
        <w:pStyle w:val="Heading3"/>
      </w:pPr>
      <w:r>
        <w:t xml:space="preserve">В отношении ранее судимого гражданина Российской Федерации совершившего 6 краж вынесен приговор.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координирующей роли Перовской межрайонной прокуратуры установлено, что фигурант, убедившись, что за ним никто не наблюдает, пришел на территорию строящихся зданий, где приискал металлическую трубу с заостренным концом, с помощью которой выломал окно, расположенное на 1-м этаже помещения, после чего поднялся на 4-й этаж вышеуказанного здания и тайно похитил строительные инструменты, находящиеся в помещении на общую сумму 61 774 руб, позднее в соседнем строящимся здании он совершил кражу строительных инструментов на общую сумму 18 713 руб.</w:t>
      </w:r>
    </w:p>
    <w:p>
      <w:pPr>
        <w:pStyle w:val="BodyText"/>
      </w:pPr>
      <w:r>
        <w:t xml:space="preserve">Буквально через месяц злоумышленник, находясь в многоквартирном доме, похитил 2 велосипеда и 2 элетросамоката, завладев чужим имуществом скрылся с места преступления, причинив материальный ущерб владельцам на общую сумму 145 985 руб.</w:t>
      </w:r>
    </w:p>
    <w:p>
      <w:pPr>
        <w:pStyle w:val="BodyText"/>
      </w:pPr>
      <w:r>
        <w:t xml:space="preserve">При участии в судебном заседании государственного обвинителя в лице помощника Перовского межрайонного прокурора злоумышленник признан виновным в совершении 6 преступлений, предусмотренных п.п. «б,в» ч.2 ст.158, (кража, то есть тайных хищений чужого имущества, совершенных с незаконным проникновением в помещение, с причинением значительного ущерба), с назначением ему наказания в виде лишения свободы сроком 2 года 6 месяцев с отбыванием наказания в исправительной колонии строгого режима. Приговор вступил в законную силу 17.06.2025.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2025-07-28T01:43:19Z</dcterms:created>
  <dcterms:modified xsi:type="dcterms:W3CDTF">2025-07-28T01:43:19Z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