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5036447a261378c1a59aa1e23d66effeb183a6"/>
    <w:p>
      <w:pPr>
        <w:pStyle w:val="Heading3"/>
      </w:pPr>
      <w:r>
        <w:t xml:space="preserve">При координирующей роли Перовской межрайонной прокуратуры установлено, что 15 марта 2025 года</w:t>
      </w:r>
    </w:p>
    <w:p>
      <w:pPr>
        <w:pStyle w:val="FirstParagraph"/>
      </w:pPr>
      <w:r>
        <w:t xml:space="preserve">23.06.2025</w:t>
      </w:r>
    </w:p>
    <w:p>
      <w:pPr>
        <w:pStyle w:val="BodyText"/>
      </w:pPr>
      <w:r>
        <w:t xml:space="preserve">При координирующей роли Перовской межрайонной прокуратуры установлено, что 15 марта 2025 года злоумышленник сидел на лавочке, рядом с ранее знакомой ему женщиной, при которой находилась принадлежащая ей сумка, во внутреннем боковом кармане которой находились денежные средства на общую сумму 9 657 руб., заметив которые фигурант совершил кражу, после встал и ушел.</w:t>
      </w:r>
    </w:p>
    <w:p>
      <w:pPr>
        <w:pStyle w:val="BodyText"/>
      </w:pPr>
      <w:r>
        <w:t xml:space="preserve">При участии в судебном заседании государственного обвинителя в лице помощника Перовского межрайонного прокурора злоумышленник признан виновным в совершении виновным в совершении преступления, предусмотренного п.п. «в, г» ч. 2 ст.158 УК РФ, ему назначено наказание в виде обязательных работ сроком на 200 (двести) часов.</w:t>
      </w:r>
    </w:p>
    <w:p>
      <w:pPr>
        <w:pStyle w:val="BodyText"/>
      </w:pPr>
      <w:r>
        <w:t xml:space="preserve">Приговор вступил в законную силу 30.05.2025.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http://novokosino.mos.ru/law-enforcement-and-security/the-information-of-the-prosecutor-s-office/news-of-the-prosecutor-s-office/detail/13053247.html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30532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30532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2025-07-28T03:21:56Z</dcterms:created>
  <dcterms:modified xsi:type="dcterms:W3CDTF">2025-07-28T03:21:56Z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