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78a31d4405132af89c308a28a6393ff5b80415"/>
    <w:p>
      <w:pPr>
        <w:pStyle w:val="Heading3"/>
      </w:pPr>
      <w:r>
        <w:t xml:space="preserve">Московский городской суд 16.06.2025 согласился и оставил без изменений решение Перовского районного суда г. Москвы по гражданскому делу, рассмотренному с участием межрайонной прокуратурой, о выселении.</w:t>
      </w:r>
    </w:p>
    <w:p>
      <w:pPr>
        <w:pStyle w:val="FirstParagraph"/>
      </w:pPr>
      <w:r>
        <w:t xml:space="preserve">23.06.2025</w:t>
      </w:r>
    </w:p>
    <w:p>
      <w:pPr>
        <w:pStyle w:val="BodyText"/>
      </w:pPr>
      <w:r>
        <w:t xml:space="preserve">Московский городской суд 16.06.2025 согласился и оставил без изменений решение Перовского районного суда г. Москвы по гражданскому делу, рассмотренному с участием межрайонной прокуратурой, о выселении.</w:t>
      </w:r>
    </w:p>
    <w:p>
      <w:pPr>
        <w:pStyle w:val="BodyText"/>
      </w:pPr>
      <w:r>
        <w:t xml:space="preserve">Департамент городского имущества обратился в суд с требования об оспаривании сделок, выселении, мотивируя тем, что спорное жилое помещение выбыло из городской собственности мошенническим путем, о котором новый собственник, приобретая квартиру у третьих лиц, не знал, в связи с чем просил признать его недобросовестным приобретателем.</w:t>
      </w:r>
    </w:p>
    <w:p>
      <w:pPr>
        <w:pStyle w:val="BodyText"/>
      </w:pPr>
      <w:r>
        <w:t xml:space="preserve">С учетом заключения межрайонной прокуратуры, судом принято решение об отказе в удовлетворении требований Департамента об оспаривании сделки и выселении семьи из трех человек, признав их добросовестными приобретателями. Права граждан восстановлены.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http://novokosino.mos.ru/law-enforcement-and-security/the-information-of-the-prosecutor-s-office/news-of-the-prosecutor-s-office/detail/13053221.html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30532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30532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2025-08-04T03:06:49Z</dcterms:created>
  <dcterms:modified xsi:type="dcterms:W3CDTF">2025-08-04T03:06:49Z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