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ad3aea27814a935489bd8e08a809cc64714ad"/>
    <w:p>
      <w:pPr>
        <w:pStyle w:val="Heading3"/>
      </w:pPr>
      <w:r>
        <w:t xml:space="preserve">Перед судом предстанет 42-летний мужчина, обвиняемый в совершении убийства.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Перед судом предстанет 42-летний мужчина, обвиняемый в совершении убийства.</w:t>
      </w:r>
    </w:p>
    <w:p>
      <w:pPr>
        <w:pStyle w:val="BodyText"/>
      </w:pPr>
      <w:r>
        <w:t xml:space="preserve">Перовской межрайонной прокуратурой г. Москвы утверждено обвинительное заключение по уголовному делу в отношении мужчины, обвиняемого в совершении убийства.</w:t>
      </w:r>
    </w:p>
    <w:p>
      <w:pPr>
        <w:pStyle w:val="BodyText"/>
      </w:pPr>
      <w:r>
        <w:t xml:space="preserve">Согласно версии следствия 42-летний мужчина 02 апреля 2025 года, находясь вблизи адреса: г. Москва, ул. Новогиреевская, д. 13, в ходе конфликта со знакомым мужчиной, нанес последнему колото-резаную рану в область груди, что привело к его смерти.</w:t>
      </w:r>
    </w:p>
    <w:p>
      <w:pPr>
        <w:pStyle w:val="BodyText"/>
      </w:pPr>
      <w:r>
        <w:t xml:space="preserve">При координирующей роли Перовской межрайонной прокуратуры обвиняемый был задержан и заключен под стражу.</w:t>
      </w:r>
    </w:p>
    <w:p>
      <w:pPr>
        <w:pStyle w:val="BodyText"/>
      </w:pPr>
      <w:r>
        <w:t xml:space="preserve">С учетом собранных по делу доказательств его действия квалифицированы по ч. 1 ст. 105 УК РФ (убийство, то есть умышленное причинение смерти другому человеку).</w:t>
      </w:r>
    </w:p>
    <w:p>
      <w:pPr>
        <w:pStyle w:val="BodyText"/>
      </w:pPr>
      <w:r>
        <w:t xml:space="preserve">Уголовное дело 30.05.2025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2025-07-29T19:15:48Z</dcterms:created>
  <dcterms:modified xsi:type="dcterms:W3CDTF">2025-07-29T19:15:48Z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