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d959b6bcd9b0e17899425e9774b66ec60d99"/>
    <w:p>
      <w:pPr>
        <w:pStyle w:val="Heading3"/>
      </w:pPr>
      <w:r>
        <w:t xml:space="preserve">Перовский межрайонный прокурор разъясняет: можно ли восстановиться в родительских правах?.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Статьей 72 СК РФ предусмотрено, что 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</w:t>
      </w:r>
    </w:p>
    <w:p>
      <w:pPr>
        <w:pStyle w:val="BodyText"/>
      </w:pPr>
      <w:r>
        <w:t xml:space="preserve">Восстановление в родительских правах осуществляется в судебном порядке по заявлению родителя, лишенного родительских прав.</w:t>
      </w:r>
    </w:p>
    <w:p>
      <w:pPr>
        <w:pStyle w:val="BodyText"/>
      </w:pPr>
      <w:r>
        <w:t xml:space="preserve">Дела о восстановлении в родительских правах рассматриваются с участием органа опеки и попечительства, а также прокурора.</w:t>
      </w:r>
    </w:p>
    <w:p>
      <w:pPr>
        <w:pStyle w:val="BodyText"/>
      </w:pPr>
      <w:r>
        <w:t xml:space="preserve">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</w:t>
      </w:r>
    </w:p>
    <w:p>
      <w:pPr>
        <w:pStyle w:val="BodyText"/>
      </w:pPr>
      <w:r>
        <w:t xml:space="preserve">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</w:t>
      </w:r>
    </w:p>
    <w:p>
      <w:pPr>
        <w:pStyle w:val="BodyText"/>
      </w:pPr>
      <w:r>
        <w:t xml:space="preserve">Восстановление в родительских правах в отношении ребенка, достигшего возраста 10 лет, возможно только с его согласия.</w:t>
      </w:r>
    </w:p>
    <w:p>
      <w:pPr>
        <w:pStyle w:val="BodyText"/>
      </w:pPr>
      <w:r>
        <w:t xml:space="preserve">Не допускается восстановление в родительских правах, если ребенок усыновлен и усыновление не отменено.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http://novokosino.mos.ru/law-enforcement-and-security/the-information-of-the-prosecutor-s-office/news-of-the-prosecutor-s-office/detail/13043081.html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43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43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2025-07-15T15:45:11Z</dcterms:created>
  <dcterms:modified xsi:type="dcterms:W3CDTF">2025-07-15T15:45:11Z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