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0c7069e00e22897025075cb7cd520b979fa1a"/>
    <w:p>
      <w:pPr>
        <w:pStyle w:val="Heading3"/>
      </w:pPr>
      <w:r>
        <w:t xml:space="preserve">Перовский межрайонный прокурор разъясняет: правила добычи занесенных в Красную книгу России видов рыбы и растений.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сентября 2025 г. будут действовать новые правила добычи редких и находящихся под угрозой исчезновения видов водных биоресурсов (постановление Правительства России от 22 мая 2025 г. № 705).</w:t>
      </w:r>
    </w:p>
    <w:p>
      <w:pPr>
        <w:pStyle w:val="BodyText"/>
      </w:pPr>
      <w:r>
        <w:t xml:space="preserve">Добыча возможна в исключительных случаях в целях сохранения водных биоресурсов, мониторинга состояния их популяций, осуществления их искусственного воспроизводства или акклиматизации, обеспечения традиционного образа жизни коренных малочисленных народов.</w:t>
      </w:r>
    </w:p>
    <w:p>
      <w:pPr>
        <w:pStyle w:val="BodyText"/>
      </w:pPr>
      <w:r>
        <w:t xml:space="preserve">Для видов из Красной книги РФ требуется разрешение Росприроднадзора, для видов из региональной Красной книги – территориальных органов Росрыболовства.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http://novokosino.mos.ru/the-prosecutor-explained/detail/13043077.html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43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3043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2025-07-03T04:31:19Z</dcterms:created>
  <dcterms:modified xsi:type="dcterms:W3CDTF">2025-07-03T04:31:19Z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