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77c79b99ba51c79054b8c99dd5ad21e204719"/>
    <w:p>
      <w:pPr>
        <w:pStyle w:val="Heading3"/>
      </w:pPr>
      <w:r>
        <w:t xml:space="preserve">Перовской межрайонной прокуратурой г. Москвы проведена проверка исполнения законодательства о несостоятельности (банкротстве) по обращению конкурсного управляющего ООО «Кардия».</w:t>
      </w:r>
    </w:p>
    <w:p>
      <w:pPr>
        <w:pStyle w:val="FirstParagraph"/>
      </w:pPr>
      <w:r>
        <w:t xml:space="preserve">21.04.2025</w:t>
      </w:r>
    </w:p>
    <w:p>
      <w:pPr>
        <w:pStyle w:val="BodyText"/>
      </w:pPr>
      <w:r>
        <w:t xml:space="preserve">Перовской межрайонной прокуратурой г. Москвы проведена проверка исполнения законодательства о несостоятельности (банкротстве) по обращению конкурсного управляющего ООО «Кардия».</w:t>
      </w:r>
    </w:p>
    <w:p>
      <w:pPr>
        <w:pStyle w:val="BodyText"/>
      </w:pPr>
      <w:r>
        <w:t xml:space="preserve">Установлено, что в рамках осуществления своих полномочий конкурсный управляющий направил запрос контрагенту должника о предоставлении ряда документов, однако руководитель коммерческой организации не исполнил обязанность предоставить временному управляющему в течение 7 дней со дня получения запроса сведения и документы, касающиеся должника по делу о банкротстве.</w:t>
      </w:r>
    </w:p>
    <w:p>
      <w:pPr>
        <w:pStyle w:val="BodyText"/>
      </w:pPr>
      <w:r>
        <w:t xml:space="preserve">По данному факту в отношении руководителя коммерческой организации Перовской межрайонной прокуратурой возбуждено дело об административном правонарушении по ч. 4 ст. 14.13 КоАП РФ (незаконное воспрепятствование деятельности конкурсного управляющего, в том числе несвоевременное предоставление сведений и (или) документов, необходимых для исполнения возложенных на него обязанностей).</w:t>
      </w:r>
    </w:p>
    <w:p>
      <w:pPr>
        <w:pStyle w:val="BodyText"/>
      </w:pPr>
      <w:r>
        <w:t xml:space="preserve">Арбитражный суд города Москвы, рассмотрев представленные прокуратурой материалы, привлек виновное лицо к административной ответственности в виде штрафа в размере 40 000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http://novokosino.mos.ru/the-prosecutor-explained/detail/12927228.html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9272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9272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2025-04-22T06:55:10Z</dcterms:created>
  <dcterms:modified xsi:type="dcterms:W3CDTF">2025-04-22T06:55:10Z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