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17726352e0e3fb05f2352230af98af4f6fe7"/>
    <w:p>
      <w:pPr>
        <w:pStyle w:val="Heading3"/>
      </w:pPr>
      <w:r>
        <w:t xml:space="preserve">Перовский районный суд г. Москвы на основании заключения Перовского межрайонного прокурора признал незаконным увольнение гражданина и восстановил его на работе.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гражданин работал в ППК «Роскадастр» в должности Руководителя направления центра информационных технологий и цифровой трансформации, однако 30 августа 2024 года трудовой договор</w:t>
      </w:r>
    </w:p>
    <w:p>
      <w:pPr>
        <w:pStyle w:val="BodyText"/>
      </w:pPr>
      <w:r>
        <w:t xml:space="preserve">с гражданином был расторгнут в связи сокращением численности штата работников.</w:t>
      </w:r>
    </w:p>
    <w:p>
      <w:pPr>
        <w:pStyle w:val="BodyText"/>
      </w:pPr>
      <w:r>
        <w:t xml:space="preserve">Вместе с тем, на основании ч. 4 ст. 261 ТК РФ (Гарантии беременной женщине и лицам с семейными обязанностями при расторжении трудового договора) гражданин не мог быть уволен по инициативе работодателя, так как является единственным кормильцем ребенка-инвалида.</w:t>
      </w:r>
    </w:p>
    <w:p>
      <w:pPr>
        <w:pStyle w:val="BodyText"/>
      </w:pPr>
      <w:r>
        <w:t xml:space="preserve">По результатам рассмотрения трудового спора 15 апреля 2025 года гражданин восстановлен в должности, в его пользу взыскано свыше 577 000 рублей за вынужденные прогулы, моральные вред, судебные расходы.</w:t>
      </w:r>
    </w:p>
    <w:p>
      <w:pPr>
        <w:pStyle w:val="BodyText"/>
      </w:pPr>
      <w:r>
        <w:t xml:space="preserve">Фактическое исполнение решения суда поставлено межрайонной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http://novokosino.mos.ru/the-prosecutor-explained/detail/12926069.html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2025-08-06T09:06:58Z</dcterms:created>
  <dcterms:modified xsi:type="dcterms:W3CDTF">2025-08-06T09:06:58Z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