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амятка-по-противодействию-наркомании"/>
    <w:p>
      <w:pPr>
        <w:pStyle w:val="Heading3"/>
      </w:pPr>
      <w:r>
        <w:t xml:space="preserve">Памятка по противодействию наркомании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drawing>
          <wp:inline>
            <wp:extent cx="5334000" cy="37686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1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86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90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123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0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http://novokosino.mos.ru/the-prosecutor-explained/detail/12867237.html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the-prosecutor-explained/detail/12867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the-prosecutor-explained/detail/12867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2025-07-03T01:59:58Z</dcterms:created>
  <dcterms:modified xsi:type="dcterms:W3CDTF">2025-07-03T01:59:58Z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