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26984c45a6864520f7b051922dc8a7013ae2f"/>
    <w:p>
      <w:pPr>
        <w:pStyle w:val="Heading3"/>
      </w:pPr>
      <w:r>
        <w:t xml:space="preserve">Минтруд России проинформировал о защите лиц, сообщивших о ставших им известными фактах коррупции.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Сообщается, что к лицу, замещающему должность в госоргане, Банке России, государственном внебюджетном фонде, госкорпорации (компании), иной организации, созданной на основании федерального закона, публично-правовой компании, организации, создаваемой для выполнения задач, поставленных перед федеральным государственным органом, сообщившему в правоохранительные или иные госорганы или СМИ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</w:t>
      </w:r>
      <w:r>
        <w:t xml:space="preserve"> </w:t>
      </w:r>
      <w:r>
        <w:rPr>
          <w:u w:val="single"/>
        </w:rPr>
        <w:t xml:space="preserve">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</w:t>
      </w:r>
      <w:r>
        <w:t xml:space="preserve">. (письмо Минтруда России от 20.09.2024 № 28-6/10/В-15619).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http://novokosino.mos.ru/law-enforcement-and-security/the-information-of-the-prosecutor-s-office/news-of-the-prosecutor-s-office/detail/12799362.html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2025-02-10T09:55:29Z</dcterms:created>
  <dcterms:modified xsi:type="dcterms:W3CDTF">2025-02-10T09:55:29Z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