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730204beffc6f46f4b1f2e3fdb5a1cc90af1f"/>
    <w:p>
      <w:pPr>
        <w:pStyle w:val="Heading3"/>
      </w:pPr>
      <w:r>
        <w:t xml:space="preserve">Конституционный Суд РФ запретил применять сроки исковой давности к искам прокуроров об обращении коррупционного имущества в доход государства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Взаимосвязанные статьи 195, 196, пункт 1 статьи 197, пункт 1 и абзац второй пункта 2 статьи 200, абзац второй статьи 208 ГК РФ</w:t>
      </w:r>
      <w:r>
        <w:t xml:space="preserve"> </w:t>
      </w:r>
      <w:r>
        <w:rPr>
          <w:bCs/>
          <w:b/>
        </w:rPr>
        <w:t xml:space="preserve">признаны не соответствующими</w:t>
      </w:r>
      <w:r>
        <w:t xml:space="preserve"> </w:t>
      </w:r>
      <w:r>
        <w:t xml:space="preserve">Конституции и ее статьям в той мере, в какой судебное толкование позволяет рассматривать установленные ими общие трехлетний и десятилетний сроки исковой давности и правила их течения в качестве распространяющихся на требования прокуроров об обращении в доход РФ имущества как приобретенного вследствие нарушения лицом, занимающим или занимавшим публично значимую должность, требований и запретов, направленных на предотвращение коррупции, что не позволяет обеспечить учет особенностей деяний, в связи с которыми возникают основания для таких требований. Это касается в том числе и имущества, в которое первоначально приобретенное посредством коррупции имущество было частично или полностью превращено или преобразовано.</w:t>
      </w:r>
    </w:p>
    <w:p>
      <w:pPr>
        <w:pStyle w:val="BodyText"/>
      </w:pPr>
      <w:r>
        <w:rPr>
          <w:u w:val="single"/>
        </w:rPr>
        <w:t xml:space="preserve">Срок,</w:t>
      </w:r>
      <w:r>
        <w:t xml:space="preserve"> </w:t>
      </w:r>
      <w:r>
        <w:t xml:space="preserve">ограничивающий возможность подачи прокурором искового заявления с требованиями об обращении в доход государства такого имущества,</w:t>
      </w:r>
      <w:r>
        <w:t xml:space="preserve"> </w:t>
      </w:r>
      <w:r>
        <w:rPr>
          <w:u w:val="single"/>
        </w:rPr>
        <w:t xml:space="preserve">считается неустановленным.</w:t>
      </w:r>
    </w:p>
    <w:p>
      <w:pPr>
        <w:pStyle w:val="BodyText"/>
      </w:pPr>
      <w:r>
        <w:t xml:space="preserve">В случае установления федеральным законодателем срока (сроков) давности для требований прокурора об обращении коррупционного имущества в доход государства законодателю необходимо:</w:t>
      </w:r>
    </w:p>
    <w:p>
      <w:pPr>
        <w:pStyle w:val="BodyText"/>
      </w:pPr>
      <w:r>
        <w:t xml:space="preserve">· установить сроки, существенно превышающие уже имеющиеся сроки давности (три и десять лет);</w:t>
      </w:r>
    </w:p>
    <w:p>
      <w:pPr>
        <w:pStyle w:val="BodyText"/>
      </w:pPr>
      <w:r>
        <w:t xml:space="preserve">· определить начало течения этих сроков (этого срока) со дня выявления прокурором фактов нарушения антикоррупционных требований и запретов и приобретения имущества вследствие этих нарушений;</w:t>
      </w:r>
    </w:p>
    <w:p>
      <w:pPr>
        <w:pStyle w:val="BodyText"/>
      </w:pPr>
      <w:r>
        <w:t xml:space="preserve">· закрепить иные специальные правила течения срока давности и др.</w:t>
      </w:r>
    </w:p>
    <w:p>
      <w:pPr>
        <w:pStyle w:val="BodyText"/>
      </w:pPr>
      <w:r>
        <w:t xml:space="preserve">· не должно допускаться применение такого срока (сроков) в случае противодействия ответчика выявлению прокурором обстоятельств нарушения антикоррупционных требований и запретов и формированию доказательственной базы для обращения в суд с исковым заявлением.</w:t>
      </w:r>
    </w:p>
    <w:p>
      <w:pPr>
        <w:pStyle w:val="BodyText"/>
      </w:pPr>
      <w:r>
        <w:t xml:space="preserve">Изложенное относится только к исковым заявлениям прокуроров, содержащим требования об обращении в доход РФ коррупционного имущества, и не может быть автоматически распространен на решение вопроса о применимости или неприменимости исковой давности к иным исковым заявлениям прокуроров, направленным на передачу имущества публично-правовым образованиям или признание их права на имущество, в том числе основанным на нарушении порядка приватизации. (Постановление КС от 31.10.2024 № 49-П).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http://novokosino.mos.ru/law-enforcement-and-security/the-information-of-the-prosecutor-s-office/news-of-the-prosecutor-s-office/detail/12799349.html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799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799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2025-02-10T09:53:10Z</dcterms:created>
  <dcterms:modified xsi:type="dcterms:W3CDTF">2025-02-10T09:53:10Z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