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dd3102f2fab709965936722049c0c04a76cb"/>
    <w:p>
      <w:pPr>
        <w:pStyle w:val="Heading3"/>
      </w:pPr>
      <w:r>
        <w:t xml:space="preserve">Перовской межрайонной прокуратурой г. Москвы проведена проверка соблюдения жилищных прав в отношении лиц из числа детей-сирот и детей, оставшихся без попечения родителей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Перовской межрайонной прокуратурой г. Москвы по обращению гражданина, отнесенного к категории лиц из числа детей-сирот и детей, оставшихся без попечения родителей проведена проверка соблюдения жилищных прав на обеспечение и предоставление жилого помещения </w:t>
      </w:r>
      <w:r>
        <w:t xml:space="preserve">по достижении 18 лет.</w:t>
      </w:r>
    </w:p>
    <w:p>
      <w:pPr>
        <w:pStyle w:val="BodyText"/>
      </w:pPr>
      <w:r>
        <w:t xml:space="preserve">В августе 2023 года Комиссией по решению жилищных вопросов </w:t>
      </w:r>
      <w:r>
        <w:t xml:space="preserve">детей-сирот и детей, оставшихся без попечения родителей, лиц из числа детей-сирот и детей, оставшихся без попечения родителей принято решение: «Установить факт невозможности проживания в ранее занимаемом жилом помещении». Заявитель включен в список лиц указанной категории,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 (далее – список г. Москвы).</w:t>
      </w:r>
    </w:p>
    <w:p>
      <w:pPr>
        <w:pStyle w:val="BodyText"/>
      </w:pPr>
      <w:r>
        <w:t xml:space="preserve">В 2024 году заявителю отказано в предоставлении жилого помещения </w:t>
      </w:r>
      <w:r>
        <w:t xml:space="preserve">по договору найма жилого помещения.</w:t>
      </w:r>
    </w:p>
    <w:p>
      <w:pPr>
        <w:pStyle w:val="BodyText"/>
      </w:pPr>
      <w:r>
        <w:t xml:space="preserve">Проведенной проверкой установлено, что заявитель является собственником 1/400 доли общей долевой собственности жилого помещения (0,1475 кв.м общей площади), что менее учетной нормы площади жилого помещения, установленной в городе Москве для отдельных квартир.</w:t>
      </w:r>
    </w:p>
    <w:p>
      <w:pPr>
        <w:pStyle w:val="BodyText"/>
      </w:pPr>
      <w:r>
        <w:t xml:space="preserve">Доля гражданина в жилом помещении является незначительной и не может рассматриваться как мера реализации его жилищных прав как лица из числа детей-сирот и детей, оставшихся без попечения родителей.</w:t>
      </w:r>
    </w:p>
    <w:p>
      <w:pPr>
        <w:pStyle w:val="BodyText"/>
      </w:pPr>
      <w:r>
        <w:t xml:space="preserve">Таким образом, межрайонной прокурор обратился в интересах заявителя с исковым заявлением в Пресненский районный суд г. Москвы в порядке</w:t>
      </w:r>
    </w:p>
    <w:p>
      <w:pPr>
        <w:pStyle w:val="BodyText"/>
      </w:pPr>
      <w:r>
        <w:t xml:space="preserve">ч. 1 ст. 45 ГПК РФ о восстановлении жилищных прав, 20.01.2025 исковые требования прокурора удовлетворены в полном объеме.</w:t>
      </w:r>
    </w:p>
    <w:p>
      <w:pPr>
        <w:pStyle w:val="BodyText"/>
      </w:pPr>
      <w:r>
        <w:t xml:space="preserve">Исполнение решения суда на контроле в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http://novokosino.mos.ru/the-prosecutor-explained/detail/12778700.html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78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78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2025-03-01T19:35:13Z</dcterms:created>
  <dcterms:modified xsi:type="dcterms:W3CDTF">2025-03-01T19:35:13Z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