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9f023d59d44d66871786eb9deaa10355c619f3"/>
    <w:p>
      <w:pPr>
        <w:pStyle w:val="Heading3"/>
      </w:pPr>
      <w:r>
        <w:t xml:space="preserve">Прокурор Восточного административного округа города Москвы разъясняет</w:t>
      </w:r>
    </w:p>
    <w:p>
      <w:pPr>
        <w:pStyle w:val="FirstParagraph"/>
      </w:pPr>
      <w:r>
        <w:t xml:space="preserve">23.12.2024</w:t>
      </w:r>
    </w:p>
    <w:bookmarkStart w:id="21" w:name="dpage_1_h"/>
    <w:bookmarkStart w:id="20" w:name="pagecontainer_1"/>
    <w:p>
      <w:pPr>
        <w:pStyle w:val="BodyText"/>
      </w:pPr>
      <w:r>
        <w:t xml:space="preserve">В связи с произошедшими изменениями, внесенными Федеральным законом от 08.08.2024 № 222-ФЗ "О внесении изменений в отдельные законодательные акты Российской Федерации" в законодательстве разъяснены обязанности адвокатов в рамках Федерального закона от 07.08.2001 № 115-ФЗ "О противодействии легализации (отмыванию) доходов, полученных преступным путем, и финансированию терроризма". В письме Федеральной палаты адвокатов от 25.10.2024 № 351-10/24-АП сообщается о расширении перечня операций и сделок, при осуществлении которых от имени или по поручению своего клиента адвокатами должны выполняться требования Федерального закона № 115-ФЗ. Кроме этого, сообщается о применении дополненных положений статьи 7.1 Федерального закона № 115-ФЗ к правоотношениям, связанным с реализацией адвокатами своих прав и исполнением ими возложенных на них обязанностей, возникшим с 30 декабря 2024 года. Закон о маркировке рекламы и обязательных отчислениях за распространение рекламы в интернете. Проект Федерального закона № 600974-8 "О внесении изменений в Федеральный закон "О рекламе" и отдельные законодательные акты Российской Федерации" (в части уточнения рекламы финансовых услуг и финансовой деятельности). Рекламораспространители и операторы рекламных систем, осуществляющие распространение в сети "Интернет" рекламы, будут обязаны осуществлять отчисления в размере 3% от суммы дохода, полученного от реализации соответствующих услуг. Правительство определит критерии отнесения к рекламе информации, распространяемой на отдельных информационных ресурсах, а также особенности исчисления и уплаты данных платежей. Освобождены от обязательных отчислений, в частности, владельцы сайтов — вещатели телеканалов и (или) радиоканалов; сетевые издания, редакции или учредители которых соответствуют одному из установленных критериев; общероссийские обязательные общедоступные телеканалы. Кроме того, законопроектом уточняются требования к распространению социальной рекламы, а также в связи с ростом закредитованности населения предусматриваются дополнительные требования к рекламе услуг, связанных с предоставлением потребительского кредита (займа). В числе таких требований, в частности, наличие предупреждения "Изучите все условия кредита (займа)" с указанием на раздел сайта с подробными условиями кредита, а в отсутствие ресурса - указание в рекламе всех условий, влияющих на полную стоимость кредита (займа), а также предупреждение "Оценивайте свои финансовые возможности и риски". Порядок освобождения от уплаты страховых взносов за периоды прохождения военной службы. В соответствии с письмом ФНС России от 09.12.2024 N БС-4-11/13952@ "Об освобождении от уплаты страховых взносов" основания для освобождения от уплаты страховых взносов в совокупном фиксированном размере за периоды военной службы по призыву или по контракту предусмотрены пунктом 7 статьи 430 НК РФ. Условием такого освобождения является, в частности, представление в налоговый орган соответствующего заявления (КНД 1150081) и подтверждающих документов. Сообщается о документах, свидетельствующих об отсутствии деятельности у плательщиков в указанные периоды, а также приведен перечень документов, подтверждающих право на освобождение от уплаты страховых взносов. Также разъяснена обязанность по уплате страховых взносов в случае: осуществления в расчетном периоде деятельности плательщиками, имеющими право на освобождение; получения дохода от осуществления предпринимательской деятельности в расчетном периоде </w:t>
      </w:r>
      <w:r>
        <w:t xml:space="preserve">при наличии у плательщика основания для освобождения от уплаты страховых взносов за полный расчетный период. Ко второму чтению подготовлен законопроект об отнесении с 1 марта 2025 года бестабачных смесей для нагревания к объектам регулирования Федерального закона "Об охране здоровья граждан от воздействия окружающего табачного дыма, последствий потребления табака или потребления никотинсодержащей продукции" Проект Федерального закона № 521876-8 "О внесении изменений в статью 2 Федерального закона "Об охране здоровья граждан от воздействия окружающего табачного дыма, последствий потребления табака или потребления никотинсодержащей продукции" ("О внесении изменений в Федеральный закон "Об охране здоровья граждан от воздействия окружающего табачного дыма, последствий потребления табака или потребления никотинсодержащей продукции")" (в части регулирования бестабачных смесей для нагревания). Согласно внесенным изменениям бестабачная смесь для нагревания - это вид никотинсодержащего или безникотинового изделия, представляющий собой бестабачную смесь, не сформированную в виде отдельных порций, готовую к заполнению в устройства для потребления изделий вручную, предназначенные для образования аэрозоля, получаемого путем прямого или косвенного нагревания изделий (без горения), который вдыхается потребителем при использовании изделий с устройствами для потребления никотинсодержащей продукции, кальянами. Госдума приняла закон, уточняющий отдельные положения ТК РФ и устанавливающий запрет на заключение срочных трудовых договоров с руководителями структурных подразделений организаций. Проект Федерального закона № 638815-8 "О внесении изменений в Трудовой кодекс Российской Федерации" (в части формирования единого подхода к истолкованию понятия "руководитель организации", а также обеспечения недопущения заключения срочного трудового договора с работником, замещающим должность руководителя структурного подразделения организации). Законом разграничивается статус руководителя организации и руководителя отдельных структурных подразделений организации, а также корректируются вопросы заключения трудового договора с руководителем организации. Так, в частности, внесенными изменениями исключена возможность заключения срочного трудового договора с работником, замещающим должность руководителя структурного подразделения организации. Поправки разработаны во исполнение Постановления Конституционного Суда РФ от 19 декабря 2023 года № 59-П. Закреплено, что заключенные до вступления указанных поправок в силу срочные трудовые договоры с руководителями структурных подразделений организаций будут считаться заключенными на неопределенный срок. Принятым законом дополнены основания установления Правительством особенностей правового регулирования трудовых отношений, а также случаи, в которых не применяются ограничения продолжительности рабочего времени при работе по совместительству. Указом Президента РФ от 09.12.2024 № 1053 "О внесении изменений в некоторые указы Президента Российской Федерации" внесены изменения в указы Президента РФ по вопросам дополнительных социальных гарантий участникам СВО. Право на единовременную выплату в размере 4 млн рублей за увечье, повлекшее наступление инвалидности, распространено на сотрудников некоторых силовых ведомств, а также волонтеров и командированных в зону СВО.</w:t>
      </w:r>
    </w:p>
    <w:bookmarkEnd w:id="20"/>
    <w:bookmarkEnd w:id="21"/>
    <w:bookmarkStart w:id="23" w:name="dpage_2_h"/>
    <w:bookmarkStart w:id="22" w:name="pagecontainer_2"/>
    <w:bookmarkEnd w:id="22"/>
    <w:bookmarkEnd w:id="23"/>
    <w:bookmarkStart w:id="25" w:name="dpage_3_h"/>
    <w:bookmarkStart w:id="24" w:name="pagecontainer_3"/>
    <w:p>
      <w:pPr>
        <w:pStyle w:val="BodyText"/>
      </w:pPr>
      <w:r>
        <w:t xml:space="preserve">В случае если увечье (ранение, травма, контузия) повлекло за собой наступление инвалидности, единовременная выплата осуществляется в размере 4 млн рублей с учетом единовременной выплаты, произведенной при получении этого увечья. Указом также определен порядок применения положений указов с учетом внесенных в них изменений. Переносится срок проведения микропереписи населения Федеральный закон от 30.09.2024 № 332-ФЗ "О приостановлении действия пункта 4 статьи 3 Федерального закона "О Всероссийской переписи населения" Подписанным законом до 1 января 2029 года приостанавливается действие пункта 4 статьи 3 Федерального закона от 25 января 2002 года № 8-ФЗ "О Всероссийской переписи населения" в части периодичности проведения выборочного федерального статистического наблюдения в отношении части лиц, подлежащих Всероссийской переписи населения, на основе выборки не менее 5 процентов населения РФ. Ранее с учетом проведения последней Всероссийской переписи населения в 2021 году микроперепись населения необходимо было провести не позднее 2026 года.</w:t>
      </w:r>
    </w:p>
    <w:bookmarkEnd w:id="24"/>
    <w:bookmarkEnd w:id="25"/>
    <w:p>
      <w:pPr>
        <w:pStyle w:val="BodyText"/>
      </w:pPr>
      <w:r>
        <w:br/>
      </w:r>
    </w:p>
    <w:p>
      <w:pPr>
        <w:pStyle w:val="BodyText"/>
      </w:pPr>
      <w:r>
        <w:t xml:space="preserve">Адрес страницы:</w:t>
      </w:r>
      <w:r>
        <w:t xml:space="preserve"> </w:t>
      </w:r>
      <w:hyperlink r:id="rId26">
        <w:r>
          <w:rPr>
            <w:rStyle w:val="Hyperlink"/>
          </w:rPr>
          <w:t xml:space="preserve">http://novokosino.mos.ru/the-prosecutor-explained/detail/12733181.html</w:t>
        </w:r>
      </w:hyperlink>
    </w:p>
    <w:p>
      <w:pPr>
        <w:pStyle w:val="BodyText"/>
      </w:pPr>
      <w:hyperlink r:id="rId27">
        <w:r>
          <w:rPr>
            <w:rStyle w:val="Hyperlink"/>
          </w:rPr>
          <w:t xml:space="preserve">Управа района Новокосино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novokosino.mos.ru" TargetMode="External" /><Relationship Type="http://schemas.openxmlformats.org/officeDocument/2006/relationships/hyperlink" Id="rId26" Target="http://novokosino.mos.ru/the-prosecutor-explained/detail/12733181.html" TargetMode="External" /></Relationships>
</file>

<file path=word/_rels/footnotes.xml.rels><?xml version="1.0" encoding="UTF-8"?><Relationships xmlns="http://schemas.openxmlformats.org/package/2006/relationships"><Relationship Type="http://schemas.openxmlformats.org/officeDocument/2006/relationships/hyperlink" Id="rId27" Target="http://novokosino.mos.ru" TargetMode="External" /><Relationship Type="http://schemas.openxmlformats.org/officeDocument/2006/relationships/hyperlink" Id="rId26" Target="http://novokosino.mos.ru/the-prosecutor-explained/detail/127331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2025-07-18T10:18:03Z</dcterms:created>
  <dcterms:modified xsi:type="dcterms:W3CDTF">2025-07-18T10:18:03Z</dcterms:modified>
</cp:coreProperties>
</file>

<file path=docProps/custom.xml><?xml version="1.0" encoding="utf-8"?>
<Properties xmlns="http://schemas.openxmlformats.org/officeDocument/2006/custom-properties" xmlns:vt="http://schemas.openxmlformats.org/officeDocument/2006/docPropsVTypes"/>
</file>