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03ae5b9364f08270235426441d15b31a9c3dd"/>
    <w:p>
      <w:pPr>
        <w:pStyle w:val="Heading3"/>
      </w:pPr>
      <w:r>
        <w:t xml:space="preserve">Генеральной прокуратурой Российской Федерации организовано проведение Международного молодежного конкурса социальной антикоррупционной рекламы «Вместе против коррупции!»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attachment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http://novokosino.mos.ru/the-prosecutor-explained/detail/12543076.html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the-prosecutor-explained/detail/12543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the-prosecutor-explained/detail/12543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2025-07-14T06:27:06Z</dcterms:created>
  <dcterms:modified xsi:type="dcterms:W3CDTF">2025-07-14T06:27:06Z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