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9f023d59d44d66871786eb9deaa10355c619f3"/>
    <w:p>
      <w:pPr>
        <w:pStyle w:val="Heading3"/>
      </w:pPr>
      <w:r>
        <w:t xml:space="preserve">Прокурор Восточного административного округа города Москвы разъясняет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drawing>
          <wp:inline>
            <wp:extent cx="5334000" cy="37879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корруп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79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8555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памятка%2002%20дропы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5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http://novokosino.mos.ru/the-prosecutor-explained/detail/12499321.html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2499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the-prosecutor-explained/detail/12499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2025-07-09T18:29:32Z</dcterms:created>
  <dcterms:modified xsi:type="dcterms:W3CDTF">2025-07-09T18:29:32Z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