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профилактика-домашнего-насилия"/>
    <w:p>
      <w:pPr>
        <w:pStyle w:val="Heading3"/>
      </w:pPr>
      <w:r>
        <w:t xml:space="preserve">Профилактика домашнего насилия</w:t>
      </w:r>
    </w:p>
    <w:p>
      <w:pPr>
        <w:pStyle w:val="FirstParagraph"/>
      </w:pPr>
      <w:r>
        <w:t xml:space="preserve">26.06.2024</w:t>
      </w:r>
    </w:p>
    <w:p>
      <w:pPr>
        <w:pStyle w:val="BodyText"/>
      </w:pPr>
      <w:r>
        <w:drawing>
          <wp:inline>
            <wp:extent cx="5334000" cy="36804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йф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0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62568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ovokosino.mos.ru/www/цы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56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http://novokosino.mos.ru/law-enforcement-and-security/the-information-of-the-prosecutor-s-office/news-of-the-prosecutor-s-office/detail/12446669.html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law-enforcement-and-security/the-information-of-the-prosecutor-s-office/news-of-the-prosecutor-s-office/detail/124466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law-enforcement-and-security/the-information-of-the-prosecutor-s-office/news-of-the-prosecutor-s-office/detail/124466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2025-07-23T16:26:05Z</dcterms:created>
  <dcterms:modified xsi:type="dcterms:W3CDTF">2025-07-23T16:26:05Z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