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7321a4f5898c20faaebfb0268d123f9a7718ee"/>
    <w:p>
      <w:pPr>
        <w:pStyle w:val="Heading3"/>
      </w:pPr>
      <w:r>
        <w:t xml:space="preserve">Ответственность должностных лиц за осуществление ими экстремистской деятельности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drawing>
          <wp:inline>
            <wp:extent cx="5334000" cy="36965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Снимок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6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718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Снимокц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7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http://novokosino.mos.ru/law-enforcement-and-security/the-information-of-the-prosecutor-s-office/news-of-the-prosecutor-s-office/detail/12446576.html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446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446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2025-01-28T00:18:23Z</dcterms:created>
  <dcterms:modified xsi:type="dcterms:W3CDTF">2025-01-28T00:18:23Z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