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1755c3c14d609591100a037ce61a63bf1f15e7"/>
    <w:p>
      <w:pPr>
        <w:pStyle w:val="Heading3"/>
      </w:pPr>
      <w:r>
        <w:t xml:space="preserve">Правила пожарной безопасности в жилых помещениях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64391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11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39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5264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222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2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http://novokosino.mos.ru/law-enforcement-and-security/the-information-of-the-prosecutor-s-office/news-of-the-prosecutor-s-office/detail/12446509.html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law-enforcement-and-security/the-information-of-the-prosecutor-s-office/news-of-the-prosecutor-s-office/detail/124465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law-enforcement-and-security/the-information-of-the-prosecutor-s-office/news-of-the-prosecutor-s-office/detail/124465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2025-07-24T01:04:35Z</dcterms:created>
  <dcterms:modified xsi:type="dcterms:W3CDTF">2025-07-24T01:04:35Z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