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3b445833d10fcedb9da4bc94d1f9b34c4b86e"/>
    <w:p>
      <w:pPr>
        <w:pStyle w:val="Heading3"/>
      </w:pPr>
      <w:r>
        <w:t xml:space="preserve">Основы обращения с отходами производства и потребления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drawing>
          <wp:inline>
            <wp:extent cx="5334000" cy="73154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154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http://novokosino.mos.ru/law-enforcement-and-security/the-information-of-the-prosecutor-s-office/news-of-the-prosecutor-s-office/detail/12446226.html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4462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law-enforcement-and-security/the-information-of-the-prosecutor-s-office/news-of-the-prosecutor-s-office/detail/124462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2025-04-30T21:42:01Z</dcterms:created>
  <dcterms:modified xsi:type="dcterms:W3CDTF">2025-04-30T21:42:01Z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