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f8811644d086a3b892cf943483c19e415cc445"/>
    <w:p>
      <w:pPr>
        <w:pStyle w:val="Heading3"/>
      </w:pPr>
      <w:r>
        <w:t xml:space="preserve">Уголовная ответственность предусмотренная за диверсионную деятельность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133975" cy="32956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918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18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http://novokosino.mos.ru/law-enforcement-and-security/the-information-of-the-prosecutor-s-office/news-of-the-prosecutor-s-office/detail/12446125.html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446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446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2025-07-03T21:55:26Z</dcterms:created>
  <dcterms:modified xsi:type="dcterms:W3CDTF">2025-07-03T21:55:26Z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