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34ea65d1c59de8bb48abccc7e7168dce3d602"/>
    <w:p>
      <w:pPr>
        <w:pStyle w:val="Heading3"/>
      </w:pPr>
      <w:r>
        <w:t xml:space="preserve">Уроженка г. Волгограда предстанет перед судом за хищение имущества из комиссионного магазина</w:t>
      </w:r>
    </w:p>
    <w:p>
      <w:pPr>
        <w:pStyle w:val="FirstParagraph"/>
      </w:pPr>
      <w:r>
        <w:t xml:space="preserve">06.06.2024</w:t>
      </w:r>
    </w:p>
    <w:p>
      <w:pPr>
        <w:pStyle w:val="BodyText"/>
      </w:pPr>
      <w:r>
        <w:t xml:space="preserve">Перовская межрайонная прокуратура г. Москвы утвердила обвинительный акт по уголовному делу в отношении неоднократно судимой уроженки г. Волгограда. Она обвиняется в совершении преступления, предусмотренного ч. 1 ст. 158 УК РФ (кража, т.е. тайное хищение чужого имущества).</w:t>
      </w:r>
      <w:r>
        <w:br/>
      </w:r>
      <w:r>
        <w:t xml:space="preserve">По версии следствия обвиняемая, не имеющая постоянного места жительства в г. Москве, не работающая, будучи в состоянии алкогольного опьянения, находясь в торговом зале комиссионного магазина «Аврора», тайно похитила, спрятав под куртку, надетую на ней, ноутбук марки ASSUS UX32A стоимостью 4 445 рублей. После чего с места совершения преступления скрылась.</w:t>
      </w:r>
      <w:r>
        <w:br/>
      </w:r>
      <w:r>
        <w:t xml:space="preserve">В настоящее время уголовное дело направлено в Перовский районный суд г. Москвы для рассмотрения по существу.</w:t>
      </w:r>
      <w:r>
        <w:br/>
      </w:r>
      <w:r>
        <w:t xml:space="preserve">В отношении обвиняемой избрана мера пресечения в виде подписки о невыезде и надлежащем поведении.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http://novokosino.mos.ru/law-enforcement-and-security/the-information-of-the-prosecutor-s-office/news-of-the-prosecutor-s-office/detail/12409073.html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4090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4090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2024-08-12T18:06:48Z</dcterms:created>
  <dcterms:modified xsi:type="dcterms:W3CDTF">2024-08-12T18:06:48Z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