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28f3c009a78ab44135770f8f0a841e9093dba"/>
    <w:p>
      <w:pPr>
        <w:pStyle w:val="Heading3"/>
      </w:pPr>
      <w:r>
        <w:t xml:space="preserve">Быть присяжным заседателем – почетный долг гражданина России!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drawing>
          <wp:inline>
            <wp:extent cx="5334000" cy="75389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review%20(1)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http://novokosino.mos.ru/the-prosecutor-explained/detail/12400717.html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the-prosecutor-explained/detail/12400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the-prosecutor-explained/detail/12400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2025-06-01T21:46:18Z</dcterms:created>
  <dcterms:modified xsi:type="dcterms:W3CDTF">2025-06-01T21:46:18Z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