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702c227b7d0104f1ac01a231702c85b5a1e06"/>
    <w:p>
      <w:pPr>
        <w:pStyle w:val="Heading3"/>
      </w:pPr>
      <w:r>
        <w:t xml:space="preserve">Перовской межрайонной прокуратурой г. Москвы проведена проверка по возможным нарушениям трудовых прав ООО ПКФ «Стальсервис»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Перовской межрайонной прокуратурой г. Москвы по обращению гражданина по возможных нарушениях ООО ПКФ «Стальсервис» трудовых прав проведена </w:t>
      </w:r>
      <w:r>
        <w:t xml:space="preserve">проверка.</w:t>
      </w:r>
    </w:p>
    <w:p>
      <w:pPr>
        <w:pStyle w:val="BodyText"/>
      </w:pPr>
      <w:r>
        <w:t xml:space="preserve">Изучением платежных ведомостей по выплате заработной платы гражданину установлено, что заработная плата за сентябрь, октябрь, ноябрь, декабрь 2022 года выплачена лишь 22.12.2022, за январь, февраль 2023 года – 03.03.2023, за май, </w:t>
      </w:r>
      <w:r>
        <w:t xml:space="preserve">июнь, июль, август 2023 года – 19.01.2024.</w:t>
      </w:r>
    </w:p>
    <w:p>
      <w:pPr>
        <w:pStyle w:val="BodyText"/>
      </w:pPr>
      <w:r>
        <w:t xml:space="preserve">Кроме того, согласно справке о задолженности ООО ПКФ «Стальсервис» </w:t>
      </w:r>
      <w:r>
        <w:t xml:space="preserve">имеет задолженность перед потерпевшим за период с 01.05.2023 по 17.01.2024 в </w:t>
      </w:r>
      <w:r>
        <w:t xml:space="preserve">размере 81 441 рубль 34 копейки.</w:t>
      </w:r>
    </w:p>
    <w:p>
      <w:pPr>
        <w:pStyle w:val="BodyText"/>
      </w:pPr>
      <w:r>
        <w:t xml:space="preserve">После вмешательства Перовской межрайонной прокуратуры указанная </w:t>
      </w:r>
      <w:r>
        <w:t xml:space="preserve">задолженность выплачена сотруднику в полном объеме, нарушенные права </w:t>
      </w:r>
      <w:r>
        <w:t xml:space="preserve">гражданина восстановлены.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http://novokosino.mos.ru/law-enforcement-and-security/the-information-of-the-prosecutor-s-office/news-of-the-prosecutor-s-office/detail/12147446.html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47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47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2024-07-24T21:04:18Z</dcterms:created>
  <dcterms:modified xsi:type="dcterms:W3CDTF">2024-07-24T21:04:18Z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