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046fc2d427f4dc9ae812bcd215e9b57eec90ab"/>
    <w:p>
      <w:pPr>
        <w:pStyle w:val="Heading3"/>
      </w:pPr>
      <w:r>
        <w:t xml:space="preserve">Перовский межрайонный прокурор Попик М.Ю. разъясняет</w:t>
      </w:r>
    </w:p>
    <w:p>
      <w:pPr>
        <w:pStyle w:val="FirstParagraph"/>
      </w:pPr>
      <w:r>
        <w:t xml:space="preserve">25.12.2023</w:t>
      </w:r>
    </w:p>
    <w:bookmarkEnd w:id="20"/>
    <w:bookmarkStart w:id="21" w:name="продление-единого-пособия."/>
    <w:p>
      <w:pPr>
        <w:pStyle w:val="Heading3"/>
      </w:pPr>
      <w:r>
        <w:t xml:space="preserve">Продление единого пособия.</w:t>
      </w:r>
    </w:p>
    <w:bookmarkEnd w:id="21"/>
    <w:bookmarkStart w:id="23" w:name="section"/>
    <w:p>
      <w:pPr>
        <w:pStyle w:val="Heading3"/>
      </w:pPr>
    </w:p>
    <w:p>
      <w:pPr>
        <w:pStyle w:val="FirstParagraph"/>
      </w:pPr>
      <w:r>
        <w:t xml:space="preserve">Единое пособие на детей до 17 лет</w:t>
      </w:r>
      <w:r>
        <w:t xml:space="preserve"> </w:t>
      </w:r>
      <w:hyperlink r:id="rId22">
        <w:r>
          <w:rPr>
            <w:rStyle w:val="Hyperlink"/>
          </w:rPr>
          <w:t xml:space="preserve">назначается на 12 месяцев.</w:t>
        </w:r>
      </w:hyperlink>
      <w:r>
        <w:t xml:space="preserve"> </w:t>
      </w:r>
      <w:r>
        <w:t xml:space="preserve">Семьи, которые обратились за ним сразу после введения, в январе 2023 года, будут получать деньги по декабрь включительно. На очередной период пособие назначают по новому заявлению.</w:t>
      </w:r>
    </w:p>
    <w:p>
      <w:pPr>
        <w:pStyle w:val="BodyText"/>
      </w:pPr>
      <w:r>
        <w:t xml:space="preserve">Чтобы его подать, не нужно ждать следующего года. По правилам обратиться за пособием можно в последний месяц текущего периода. То есть если его назначили с января 2023 года, в декабре можно подавать заявление для выплат в 2024 году.</w:t>
      </w:r>
    </w:p>
    <w:p>
      <w:pPr>
        <w:pStyle w:val="BodyText"/>
      </w:pPr>
      <w:r>
        <w:t xml:space="preserve">Важно учесть, что подать его можно, но не обязательно. Одним родителям выгодно подать заявление сейчас, другим лучше подождать января. Пособие и тем, и другим семьям будут выплачивать с января с учетом размеров 2024 года.</w:t>
      </w:r>
    </w:p>
    <w:p>
      <w:pPr>
        <w:pStyle w:val="BodyText"/>
      </w:pPr>
      <w:r>
        <w:t xml:space="preserve">На выбор месяца подачи заявления влияют несколько факторов:</w:t>
      </w:r>
    </w:p>
    <w:p>
      <w:pPr>
        <w:pStyle w:val="BodyText"/>
      </w:pPr>
      <w:r>
        <w:t xml:space="preserve">1. В декабре среднедушевой доход </w:t>
      </w:r>
      <w:r>
        <w:t xml:space="preserve">будут сравнивать с прожиточным минимумом 2023 года, а в январе уже учтут индексацию. И при этом же доходе шансов на назначение или повышенный размер пособия больше.</w:t>
      </w:r>
    </w:p>
    <w:p>
      <w:pPr>
        <w:pStyle w:val="BodyText"/>
      </w:pPr>
      <w:r>
        <w:t xml:space="preserve">2. Расчетный период в декабре — с ноября 2022 по октябрь 2023, а если подавать в январе — с декабря 2022 по ноябрь 2023. Надо считать, когда среднедушевой доход ниже, и учитывать правило нулевого дохода.</w:t>
      </w:r>
    </w:p>
    <w:p>
      <w:pPr>
        <w:pStyle w:val="BodyText"/>
      </w:pPr>
      <w:r>
        <w:t xml:space="preserve">3. Оценка имущества проводится на дату обращения. Если семья планирует продать квартиру или машину в январе, в декабре они еще войдут в состав имущества. А после продажи — уже нет. Аналогично с составом семьи: его проверяют на дату обращения за пособием.</w:t>
      </w:r>
    </w:p>
    <w:p>
      <w:pPr>
        <w:pStyle w:val="BodyText"/>
      </w:pPr>
      <w:r>
        <w:t xml:space="preserve">4. Допустим, у родителя не было трудового дохода в расчетном периоде. Он оформил самозанятость в ноябре 2023 года. В декабре подавать заявление еще рано, в январе — можно.</w:t>
      </w:r>
    </w:p>
    <w:p>
      <w:pPr>
        <w:pStyle w:val="BodyText"/>
      </w:pPr>
      <w:r>
        <w:t xml:space="preserve">Все эти факторы нужно учитывать в комплексе. Кроме того, с 2024 года правила могут точечно измениться и повлиять на назначение. В декабре нововведений, скорее всего, уже не будет.</w:t>
      </w:r>
    </w:p>
    <w:p>
      <w:pPr>
        <w:pStyle w:val="BodyText"/>
      </w:pPr>
      <w:r>
        <w:rPr>
          <w:bCs/>
          <w:b/>
        </w:rPr>
        <w:t xml:space="preserve">Выплата ветеранам.</w:t>
      </w:r>
    </w:p>
    <w:bookmarkEnd w:id="23"/>
    <w:bookmarkStart w:id="27" w:name="section-1"/>
    <w:p>
      <w:pPr>
        <w:pStyle w:val="Heading3"/>
      </w:pPr>
    </w:p>
    <w:p>
      <w:pPr>
        <w:pStyle w:val="FirstParagraph"/>
      </w:pPr>
      <w:r>
        <w:t xml:space="preserve">В декабре начнутся</w:t>
      </w:r>
      <w:r>
        <w:t xml:space="preserve"> </w:t>
      </w:r>
      <w:hyperlink r:id="rId24">
        <w:r>
          <w:rPr>
            <w:rStyle w:val="Hyperlink"/>
          </w:rPr>
          <w:t xml:space="preserve">единовременные выплаты</w:t>
        </w:r>
      </w:hyperlink>
      <w:r>
        <w:t xml:space="preserve"> </w:t>
      </w:r>
      <w:r>
        <w:t xml:space="preserve">награжденным медалью «За оборону Ленинграда» или знаком «Жителю блокадного Ленинграда» в связи с 80-летием освобождения Ленинграда от блокады. По 50 000 ₽ получат те, кто постоянно живет в России, Латвии, Литве, Эстонии, Абхазии, Южной Осетии и Приднестровье. Деньги перечислит СФР, заявление подавать не нужно.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http://novokosino.mos.ru/law-enforcement-and-security/the-information-of-the-prosecutor-s-office/news-of-the-prosecutor-s-office/detail/12075137.html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ovokosino.mos.ru" TargetMode="External" /><Relationship Type="http://schemas.openxmlformats.org/officeDocument/2006/relationships/hyperlink" Id="rId25" Target="http://novokosino.mos.ru/law-enforcement-and-security/the-information-of-the-prosecutor-s-office/news-of-the-prosecutor-s-office/detail/12075137.html" TargetMode="External" /><Relationship Type="http://schemas.openxmlformats.org/officeDocument/2006/relationships/hyperlink" Id="rId24" Target="http://static.government.ru/media/files/qJ0VTzAKE5DHbbpqkF5CP3BOqSZrDK4y.pdf" TargetMode="External" /><Relationship Type="http://schemas.openxmlformats.org/officeDocument/2006/relationships/hyperlink" Id="rId22" Target="https://journal.tinkoff.ru/news/edinoe-posobie-na-dete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kosino.mos.ru" TargetMode="External" /><Relationship Type="http://schemas.openxmlformats.org/officeDocument/2006/relationships/hyperlink" Id="rId25" Target="http://novokosino.mos.ru/law-enforcement-and-security/the-information-of-the-prosecutor-s-office/news-of-the-prosecutor-s-office/detail/12075137.html" TargetMode="External" /><Relationship Type="http://schemas.openxmlformats.org/officeDocument/2006/relationships/hyperlink" Id="rId24" Target="http://static.government.ru/media/files/qJ0VTzAKE5DHbbpqkF5CP3BOqSZrDK4y.pdf" TargetMode="External" /><Relationship Type="http://schemas.openxmlformats.org/officeDocument/2006/relationships/hyperlink" Id="rId22" Target="https://journal.tinkoff.ru/news/edinoe-posobie-na-dete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2025-07-10T20:49:45Z</dcterms:created>
  <dcterms:modified xsi:type="dcterms:W3CDTF">2025-07-10T20:49:45Z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