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25b960ae6a3d5c638c1f8657d0b9ecadaa7a3"/>
    <w:p>
      <w:pPr>
        <w:pStyle w:val="Heading3"/>
      </w:pPr>
      <w:r>
        <w:t xml:space="preserve">Перовской межрайонной прокуратурой пресечены нарушения законодательства о занятости населения</w:t>
      </w:r>
    </w:p>
    <w:p>
      <w:pPr>
        <w:pStyle w:val="FirstParagraph"/>
      </w:pPr>
      <w:r>
        <w:t xml:space="preserve">20.09.2023</w:t>
      </w:r>
    </w:p>
    <w:p>
      <w:pPr>
        <w:pStyle w:val="BodyText"/>
      </w:pPr>
      <w:r>
        <w:t xml:space="preserve">Перовской межрайонной прокуратурой г. Москвы проведена проверка исполнения законодательства о занятости населения в ООО «Юникон-ЗСК».</w:t>
      </w:r>
    </w:p>
    <w:p>
      <w:pPr>
        <w:pStyle w:val="BodyText"/>
      </w:pPr>
      <w:r>
        <w:t xml:space="preserve">По результатам проверки выявлено нарушение в части создания и выделению квотируемых рабочих мест для инвалидов.</w:t>
      </w:r>
    </w:p>
    <w:p>
      <w:pPr>
        <w:pStyle w:val="BodyText"/>
      </w:pPr>
      <w:r>
        <w:t xml:space="preserve">Кроме того, ООО «Юникон-ЗСК» не производилась ежемесячная уплата в бюджет города Москвы компенсационной стоимости квотируемого рабочего места в размере прожиточного минимума для трудоспособного населения.</w:t>
      </w:r>
    </w:p>
    <w:p>
      <w:pPr>
        <w:pStyle w:val="BodyText"/>
      </w:pPr>
      <w:r>
        <w:t xml:space="preserve">В связи с выявленными нарушениями в адрес руководителя юридического лица внесено представление, которое рассмотрено и удовлетворено, виновное должностное лицо привлечено к дисциплинарной ответственности в виде выговора, в настоящее время денежные средства в размере 2 429 109 рублей перечислены в бюджет города Москвы в полном объеме.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http://novokosino.mos.ru/the-prosecutor-explained/detail/11841429.html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41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841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2025-07-13T13:14:06Z</dcterms:created>
  <dcterms:modified xsi:type="dcterms:W3CDTF">2025-07-13T13:14:06Z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