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направлено в суд для рассмотрения по существу уголовное дело в отношении ранее привлекавшегося к уголовной ответственности гражданина, открыто похитившего имущество потерпевшего.</w:t>
      </w:r>
    </w:p>
    <w:p>
      <w:pPr>
        <w:pStyle w:val="BodyText"/>
      </w:pPr>
      <w:r>
        <w:t xml:space="preserve">Так, подойдя к ранее знакомому потерпевшему, обвиняемый попросил позвонить по мобильному телефону, но получив отказ, открыто похитил у потерпевшего принадлежащее ему имущество. Преступник был задержан по горячим следам, похищенное имущество у него изъято.</w:t>
      </w:r>
    </w:p>
    <w:p>
      <w:pPr>
        <w:pStyle w:val="BodyText"/>
      </w:pPr>
      <w:r>
        <w:t xml:space="preserve">Обвиняемому грозит лишение свободы на срок до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2024-05-08T11:04:03Z</dcterms:created>
  <dcterms:modified xsi:type="dcterms:W3CDTF">2024-05-08T11:04:03Z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