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молодого человека, обвиняемого </w:t>
      </w:r>
      <w:r>
        <w:t xml:space="preserve">в совершении преступления, предусмотренного ч. 3 ст. 159 УК РФ (хищение чужого имущества путем обмана, совершенное в крупном размере).</w:t>
      </w:r>
    </w:p>
    <w:p>
      <w:pPr>
        <w:pStyle w:val="BodyText"/>
      </w:pPr>
      <w:r>
        <w:t xml:space="preserve">По версии следствия, в мае 2022 года житель Алтайского края в сети Интернет разместил объявление об оказании услуг по конвертации различной валюты, после ознакомления с которой, потерпевший решил воспользоваться данной услугой и обменять принадлежащие ему денежные средства в сумме более 300 тысяч рублей на иностранную валюту, в связи с чем осуществил перевод указанной суммы на расчетный счет обвиняемого. Однако, своих обязательств обвиняемый не исполнил, денежные средства обратил в свою пользу и распорядился ими по своему усмотрению.</w:t>
      </w:r>
    </w:p>
    <w:p>
      <w:pPr>
        <w:pStyle w:val="BodyText"/>
      </w:pPr>
      <w:r>
        <w:t xml:space="preserve">Предварительное расследование по уголовному делу было приостановлено в связи с неустановлением лица, подлежащего привлечению в качестве обвиняемого.</w:t>
      </w:r>
    </w:p>
    <w:p>
      <w:pPr>
        <w:pStyle w:val="BodyText"/>
      </w:pPr>
      <w:r>
        <w:t xml:space="preserve">После вмешательства межрайонной прокуратуры решение</w:t>
      </w:r>
    </w:p>
    <w:p>
      <w:pPr>
        <w:pStyle w:val="BodyText"/>
      </w:pPr>
      <w:r>
        <w:t xml:space="preserve">о приостановлении расследования было отменено, лицо, подлежащее привлечению в качестве обвиняемого было установлено и ему предъявлено обвинение в совершении преступления, предусмотренного ч. 3 ст. 159 УК РФ, вину в совершении которого он признал полностью.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2024-10-02T07:36:37Z</dcterms:created>
  <dcterms:modified xsi:type="dcterms:W3CDTF">2024-10-02T07:36:37Z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