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34c61edae81033bfb349dd84e9455b1c65d68"/>
    <w:p>
      <w:pPr>
        <w:pStyle w:val="Heading3"/>
      </w:pPr>
      <w:r>
        <w:t xml:space="preserve">Прокуратура ВАО г. Москвы разъясняет: административная ответственность несовершеннолетних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Административной ответственности подлежит лицо, достигшее к моменту совершения административного правонарушения возраста шестнадцати лет.</w:t>
      </w:r>
    </w:p>
    <w:p>
      <w:pPr>
        <w:pStyle w:val="BodyText"/>
      </w:pPr>
      <w:r>
        <w:t xml:space="preserve">С учетом конкретных обстоятельств дела и данных о лице, совершившем административное правонарушение в возрасте от шестнадцати до восемнадцати лет,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воздействия, предусмотренной федеральным законодательством о защите прав несовершеннолетних.</w:t>
      </w:r>
    </w:p>
    <w:p>
      <w:pPr>
        <w:pStyle w:val="BodyText"/>
      </w:pPr>
      <w:r>
        <w:t xml:space="preserve">При этом, административный арест не может применяться к лицам, не достигшим возраста восемнадцати лет.</w:t>
      </w:r>
    </w:p>
    <w:p>
      <w:pPr>
        <w:pStyle w:val="BodyText"/>
      </w:pPr>
      <w:r>
        <w:t xml:space="preserve">Также обстоятельством, смягчающим административную ответственность, признается совершение административного правонарушения несовершеннолетним.</w:t>
      </w:r>
    </w:p>
    <w:p>
      <w:pPr>
        <w:pStyle w:val="BodyText"/>
      </w:pPr>
      <w:r>
        <w:t xml:space="preserve">Несовершеннолетнее лицо, в отношении которого ведется производство по делу об административном правонарушении, может быть удалено на время рассмотрения обстоятельств дела, обсуждение которых может оказать отрицательное влияние на указанное лицо.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2025-02-25T14:06:02Z</dcterms:created>
  <dcterms:modified xsi:type="dcterms:W3CDTF">2025-02-25T14:06:02Z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