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752fe921bb035e5c1f5b1f394351e5b8a040b"/>
    <w:p>
      <w:pPr>
        <w:pStyle w:val="Heading3"/>
      </w:pPr>
      <w:r>
        <w:t xml:space="preserve">Прокуратура ВАО г. Москвы разъясняет: защита прав и законных интересов ребенка при формировании социальной инфраструктуры для детей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Федеральные органы исполнительной власти, органы исполнительной власти субъектов Российской Федерации при принятии решений по вопросам социально-экономического развития соответствующих территорий учитывают нормативы строительства объектов социальной инфраструктуры для детей. Такие нормативы устанавливаются Правительством Российской Федерации и применяются с учетом региональных различий, традиций народов Российской Федерации, если иное не установлено законодательством соответствующего субъекта Российской Федерации.</w:t>
      </w:r>
    </w:p>
    <w:p>
      <w:pPr>
        <w:pStyle w:val="BodyText"/>
      </w:pPr>
      <w:r>
        <w:t xml:space="preserve">Принятие федеральным органом исполнительной власти, органом исполнительной власти субъекта Российской Федерации или органом местного самоуправления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и (или) муниципальной собственностью, а также о реорганизации или ликвидации государственных организаций, муниципальных организаций, образующих социальную инфраструктуру для детей, допускается на основании положительного заключения комиссии по оценке последствий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>
      <w:pPr>
        <w:pStyle w:val="BodyText"/>
      </w:pPr>
      <w:r>
        <w:t xml:space="preserve">Имущество, которое является государственной собственностью (земельные участки, здания, строения и сооружения, оборудование и иное имущество), которое относится к объектам социальной инфраструктуры для детей и возникновение, обособление или приобретение которого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может использоваться только в данных целях.</w:t>
      </w:r>
    </w:p>
    <w:p>
      <w:pPr>
        <w:pStyle w:val="BodyText"/>
      </w:pPr>
      <w:r>
        <w:t xml:space="preserve">Имущество, которое является собственностью субъекта Российской Федерации и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используется в порядке, определенном законодательством Российской Федерации и законодательством субъекта Российской Федерации.</w:t>
      </w:r>
    </w:p>
    <w:p>
      <w:pPr>
        <w:pStyle w:val="BodyText"/>
      </w:pPr>
      <w:r>
        <w:t xml:space="preserve">Порядок изменения назначения имущества, которое является муниципальной собственностью (земельные участки, здания, строения и сооружения, оборудование и иное имущество) и возникновение, обособление или приобретение которого связано с целями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устанавливается органами местного самоуправления при условии предварительного создания (приобретения, изменения назначения) имущества, достаточного для обеспечения указанных целей.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2024-09-21T03:21:55Z</dcterms:created>
  <dcterms:modified xsi:type="dcterms:W3CDTF">2024-09-21T03:21:55Z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