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6b1f5fa2a5427e3c7216ff147a2a954cbda99c"/>
    <w:p>
      <w:pPr>
        <w:pStyle w:val="Heading3"/>
      </w:pPr>
      <w:r>
        <w:t xml:space="preserve">Прокуратурой ВАО г. Москвы проведена проверка жилищного законодательства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Обязанность управляющей организации содержать общее имущество многоквартирного дома в надлежащем состоянии, обеспечивающем в частности безопасность для жизни и здоровья граждан и соблюдение прав и законных интересов собственников помещений и иных лиц, предусмотрена</w:t>
      </w:r>
      <w:r>
        <w:t xml:space="preserve"> </w:t>
      </w:r>
      <w:hyperlink r:id="rId20">
        <w:r>
          <w:rPr>
            <w:rStyle w:val="Hyperlink"/>
          </w:rPr>
          <w:t xml:space="preserve">статьями 161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162</w:t>
        </w:r>
      </w:hyperlink>
      <w:r>
        <w:t xml:space="preserve"> </w:t>
      </w:r>
      <w:r>
        <w:t xml:space="preserve">ЖК РФ,</w:t>
      </w:r>
      <w:r>
        <w:t xml:space="preserve"> </w:t>
      </w:r>
      <w:hyperlink r:id="rId22">
        <w:r>
          <w:rPr>
            <w:rStyle w:val="Hyperlink"/>
          </w:rPr>
          <w:t xml:space="preserve">пунктами 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16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17</w:t>
        </w:r>
      </w:hyperlink>
      <w:r>
        <w:t xml:space="preserve"> </w:t>
      </w:r>
      <w:r>
        <w:t xml:space="preserve">Постановления Правительства Российской Федерации от 13 августа 2006 года № 491 «Об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 (далее - Правила).</w:t>
      </w:r>
    </w:p>
    <w:p>
      <w:pPr>
        <w:pStyle w:val="BodyText"/>
      </w:pPr>
      <w:r>
        <w:t xml:space="preserve">Согласно п. 10 Правил, общее имущество должно содержаться в соответствии с требованиями законодательства Российской Федерации (в том числе о санитарно-эпидемиологическом благополучии населения, техническом регулировании, защите прав потребителей).</w:t>
      </w:r>
    </w:p>
    <w:p>
      <w:pPr>
        <w:pStyle w:val="BodyText"/>
      </w:pPr>
      <w:r>
        <w:t xml:space="preserve">В соответствии с</w:t>
      </w:r>
      <w:r>
        <w:t xml:space="preserve"> </w:t>
      </w:r>
      <w:hyperlink r:id="rId26">
        <w:r>
          <w:rPr>
            <w:rStyle w:val="Hyperlink"/>
          </w:rPr>
          <w:t xml:space="preserve">пунктом 42</w:t>
        </w:r>
      </w:hyperlink>
      <w:r>
        <w:t xml:space="preserve"> </w:t>
      </w:r>
      <w:r>
        <w:t xml:space="preserve">Правил, управляющие организации и лица, оказывающие услуги и выполняющие работы при непосредственном управлении многоквартирным домом, отвечают перед собственниками помещений за нарушение своих обязательств и несут ответственность за надлежащее содержание общего имущества в соответствии с законодательством Российской Федерации и договором.</w:t>
      </w:r>
    </w:p>
    <w:p>
      <w:pPr>
        <w:pStyle w:val="BodyText"/>
      </w:pPr>
      <w:r>
        <w:t xml:space="preserve">Постановлением Государственного комитета Российской Федерации по строительству и жилищно-коммунальному комплексу от 27 сентября 2003 года № 170 утверждены «</w:t>
      </w:r>
      <w:hyperlink r:id="rId27">
        <w:r>
          <w:rPr>
            <w:rStyle w:val="Hyperlink"/>
          </w:rPr>
          <w:t xml:space="preserve">Правила</w:t>
        </w:r>
      </w:hyperlink>
      <w:r>
        <w:t xml:space="preserve"> </w:t>
      </w:r>
      <w:r>
        <w:t xml:space="preserve">и нормы технической эксплуатации жилищного фонда», определяющие правила по эксплуатации, капитальному ремонту и реконструкции объектов жилищно-коммунального хозяйства, обеспечению сохранности и содержанию жилищного фонда, технической инвентаризации и являющиеся обязательными для исполнения органами исполнительной власти субъектов Российской Федерации, органами государственного контроля и надзора, органами местного самоуправления.</w:t>
      </w:r>
    </w:p>
    <w:p>
      <w:pPr>
        <w:pStyle w:val="BodyText"/>
      </w:pPr>
      <w:r>
        <w:t xml:space="preserve">В ходе проверки в многоквартирном доме, расположенном на территории округа, выявлены нарушения Правил содержания жилых домов и (или) жилых помещений. Нарушение правил содержания и ремонта жилых домов влечет наложение административного штрафа в соответствии со ст. 7.22 КоАП РФ.</w:t>
      </w:r>
    </w:p>
    <w:p>
      <w:pPr>
        <w:pStyle w:val="BodyText"/>
      </w:pPr>
      <w:r>
        <w:t xml:space="preserve">Прокуратурой округа в связи с выявленными нарушениями установленных норм по эксплуатации жилищного фонда в 2022 г. внесено представление в адрес руководителя управляющей организации, которое рассмотрено, а также возбуждены дела об административных правонарушениях по ст. 7.22 КоАП РФ. Виновные лица привлечены к административной и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http://novokosino.mos.ru/law-enforcement-and-security/the-information-of-the-prosecutor-s-office/news-of-the-prosecutor-s-office/detail/11377121.html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consultantplus://offline/ref=E421EE149E5B50A5D48C0FC28A39522FB9D42495D99DB2C50B1BB42AA8B18CEC9A9330193DAFB88873nEN" TargetMode="External" /><Relationship Type="http://schemas.openxmlformats.org/officeDocument/2006/relationships/hyperlink" Id="rId24" Target="consultantplus://offline/ref=E421EE149E5B50A5D48C0FC28A39522FB9D42495D99DB2C50B1BB42AA8B18CEC9A9330193DAFB98C73nDN" TargetMode="External" /><Relationship Type="http://schemas.openxmlformats.org/officeDocument/2006/relationships/hyperlink" Id="rId25" Target="consultantplus://offline/ref=E421EE149E5B50A5D48C0FC28A39522FB9D42495D99DB2C50B1BB42AA8B18CEC9A9330193DAFB98D73nEN" TargetMode="External" /><Relationship Type="http://schemas.openxmlformats.org/officeDocument/2006/relationships/hyperlink" Id="rId22" Target="consultantplus://offline/ref=E421EE149E5B50A5D48C0FC28A39522FB9D42495D99DB2C50B1BB42AA8B18CEC9A9330193DAFB98E73nEN" TargetMode="External" /><Relationship Type="http://schemas.openxmlformats.org/officeDocument/2006/relationships/hyperlink" Id="rId23" Target="consultantplus://offline/ref=E421EE149E5B50A5D48C0FC28A39522FB9D42495D99DB2C50B1BB42AA8B18CEC9A9330193DAFB98F73nBN" TargetMode="External" /><Relationship Type="http://schemas.openxmlformats.org/officeDocument/2006/relationships/hyperlink" Id="rId20" Target="consultantplus://offline/ref=E421EE149E5B50A5D48C0FC28A39522FB9D52495D79FB2C50B1BB42AA8B18CEC9A9330193DAEB88A73nDN" TargetMode="External" /><Relationship Type="http://schemas.openxmlformats.org/officeDocument/2006/relationships/hyperlink" Id="rId21" Target="consultantplus://offline/ref=E421EE149E5B50A5D48C0FC28A39522FB9D52495D79FB2C50B1BB42AA8B18CEC9A9330193DAFB08273n9N" TargetMode="External" /><Relationship Type="http://schemas.openxmlformats.org/officeDocument/2006/relationships/hyperlink" Id="rId27" Target="consultantplus://offline/ref=E421EE149E5B50A5D48C0FC28A39522FBCD42597DC90EFCF0342B828AFBED3FB9DDA3C183DAFB878n8N" TargetMode="External" /><Relationship Type="http://schemas.openxmlformats.org/officeDocument/2006/relationships/hyperlink" Id="rId29" Target="http://novokosino.mos.ru" TargetMode="External" /><Relationship Type="http://schemas.openxmlformats.org/officeDocument/2006/relationships/hyperlink" Id="rId28" Target="http://novokosino.mos.ru/law-enforcement-and-security/the-information-of-the-prosecutor-s-office/news-of-the-prosecutor-s-office/detail/11377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consultantplus://offline/ref=E421EE149E5B50A5D48C0FC28A39522FB9D42495D99DB2C50B1BB42AA8B18CEC9A9330193DAFB88873nEN" TargetMode="External" /><Relationship Type="http://schemas.openxmlformats.org/officeDocument/2006/relationships/hyperlink" Id="rId24" Target="consultantplus://offline/ref=E421EE149E5B50A5D48C0FC28A39522FB9D42495D99DB2C50B1BB42AA8B18CEC9A9330193DAFB98C73nDN" TargetMode="External" /><Relationship Type="http://schemas.openxmlformats.org/officeDocument/2006/relationships/hyperlink" Id="rId25" Target="consultantplus://offline/ref=E421EE149E5B50A5D48C0FC28A39522FB9D42495D99DB2C50B1BB42AA8B18CEC9A9330193DAFB98D73nEN" TargetMode="External" /><Relationship Type="http://schemas.openxmlformats.org/officeDocument/2006/relationships/hyperlink" Id="rId22" Target="consultantplus://offline/ref=E421EE149E5B50A5D48C0FC28A39522FB9D42495D99DB2C50B1BB42AA8B18CEC9A9330193DAFB98E73nEN" TargetMode="External" /><Relationship Type="http://schemas.openxmlformats.org/officeDocument/2006/relationships/hyperlink" Id="rId23" Target="consultantplus://offline/ref=E421EE149E5B50A5D48C0FC28A39522FB9D42495D99DB2C50B1BB42AA8B18CEC9A9330193DAFB98F73nBN" TargetMode="External" /><Relationship Type="http://schemas.openxmlformats.org/officeDocument/2006/relationships/hyperlink" Id="rId20" Target="consultantplus://offline/ref=E421EE149E5B50A5D48C0FC28A39522FB9D52495D79FB2C50B1BB42AA8B18CEC9A9330193DAEB88A73nDN" TargetMode="External" /><Relationship Type="http://schemas.openxmlformats.org/officeDocument/2006/relationships/hyperlink" Id="rId21" Target="consultantplus://offline/ref=E421EE149E5B50A5D48C0FC28A39522FB9D52495D79FB2C50B1BB42AA8B18CEC9A9330193DAFB08273n9N" TargetMode="External" /><Relationship Type="http://schemas.openxmlformats.org/officeDocument/2006/relationships/hyperlink" Id="rId27" Target="consultantplus://offline/ref=E421EE149E5B50A5D48C0FC28A39522FBCD42597DC90EFCF0342B828AFBED3FB9DDA3C183DAFB878n8N" TargetMode="External" /><Relationship Type="http://schemas.openxmlformats.org/officeDocument/2006/relationships/hyperlink" Id="rId29" Target="http://novokosino.mos.ru" TargetMode="External" /><Relationship Type="http://schemas.openxmlformats.org/officeDocument/2006/relationships/hyperlink" Id="rId28" Target="http://novokosino.mos.ru/law-enforcement-and-security/the-information-of-the-prosecutor-s-office/news-of-the-prosecutor-s-office/detail/11377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2024-04-24T20:18:50Z</dcterms:created>
  <dcterms:modified xsi:type="dcterms:W3CDTF">2024-04-24T20:18:50Z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