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c2803cdd88e9d4d50df75ec7216a6f8091413"/>
    <w:p>
      <w:pPr>
        <w:pStyle w:val="Heading3"/>
      </w:pPr>
      <w:r>
        <w:t xml:space="preserve">Прокуратурой ВАО г. Москвы проведена проверка использования гражданами средств материнского (семейного) капитала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Прокуратурой Восточного административного округа г. Москвы в ходе осуществления надзорной деятельности в сфере использования гражданами средств материнского (семейного) капитала (далее – МСК) выявлены нарушения требований действующего законодательства.</w:t>
      </w:r>
    </w:p>
    <w:p>
      <w:pPr>
        <w:pStyle w:val="BodyText"/>
      </w:pPr>
      <w:r>
        <w:t xml:space="preserve">В силу ч. 5 ст. 10 Федерального закона от 29.12.2006 № 256-ФЗ «О дополнительных мерах государственной поддержки семей, имеющих детей», правила направления средств (части средств) материнского (семейного) капитала на улучшение жилищных условий устанавливаются Правительством Российской Федерации.</w:t>
      </w:r>
    </w:p>
    <w:p>
      <w:pPr>
        <w:pStyle w:val="BodyText"/>
      </w:pPr>
      <w:r>
        <w:t xml:space="preserve">На основании п. 15 (1) Правил направления средств (части средств) материнского (семейного) капитала на улучшение жилищных условий, утвержденных постановлением Правительства РФ от 12.12.2007 № 862, лицо, получившее сертификат, или супруг лица, получившего сертификат, обязаны оформить жилое помещение, приобретенное (построенное, реконструированное) с использованием средств (части средств) материнского (семейного) капитала, в общую собственность лица, получившего сертификат, его супруга и детей (в том числе первого, второго, третьего ребенка и последующих детей) с определением размера долей по соглашению в течение 6 месяцев после перечисления Пенсионным фондом Российской Федерации средств материнского (семейного) капитала лицу либо организации, осуществляющим отчуждение жилого помещения, а в случае приобретения жилого помещения по договору купли-продажи жилого помещения с использованием средств целевого жилищного займа, предоставленного в соответствии с законодательством Российской Федерации, - после снятия обременения с жилого помещения.</w:t>
      </w:r>
    </w:p>
    <w:p>
      <w:pPr>
        <w:pStyle w:val="BodyText"/>
      </w:pPr>
      <w:r>
        <w:t xml:space="preserve">В ходе проверки установлено, что у жительницы округа имеются несовершеннолетние дети, в связи с чем реализовано право на распоряжение средствами материнского (семейного) капитала.</w:t>
      </w:r>
    </w:p>
    <w:p>
      <w:pPr>
        <w:pStyle w:val="BodyText"/>
      </w:pPr>
      <w:r>
        <w:t xml:space="preserve">Вместе с тем, в течение 6 месяцев после перечисления средств МСК жилое помещение в общую собственность, в том числе несовершеннолетних детей, с определением размера доли по соглашению, не оформлено.</w:t>
      </w:r>
    </w:p>
    <w:p>
      <w:pPr>
        <w:pStyle w:val="BodyText"/>
      </w:pPr>
      <w:r>
        <w:t xml:space="preserve">В этой связи прокуратурой округа направлено исковое заявление в районный суд, которые рассмотрено и удовлетворено. Несовершеннолетним детям выделены доли.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http://novokosino.mos.ru/the-prosecutor-explained/detail/11377119.html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377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2024-08-06T02:20:18Z</dcterms:created>
  <dcterms:modified xsi:type="dcterms:W3CDTF">2024-08-06T02:20:18Z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