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85484960073274a3a5a12dd2694f066f183d02"/>
    <w:p>
      <w:pPr>
        <w:pStyle w:val="Heading3"/>
      </w:pPr>
      <w:r>
        <w:t xml:space="preserve">Межрайонной прокуратурой в рамках надзорной деятельности установлено</w:t>
      </w:r>
    </w:p>
    <w:p>
      <w:pPr>
        <w:pStyle w:val="FirstParagraph"/>
      </w:pPr>
      <w:r>
        <w:t xml:space="preserve">25.12.2022</w:t>
      </w:r>
    </w:p>
    <w:p>
      <w:pPr>
        <w:pStyle w:val="BodyText"/>
      </w:pPr>
      <w:r>
        <w:t xml:space="preserve">Межрайонной прокуратурой в рамках надзорной деятельности установлено, что по информации ГБУЗ Московский научно-практический центр наркологии ДЗМ филиал (наркологический диспансер) №4 у гражданина имеется диагноз МКБ-10 F10.213 – Психические и поведенческие расстройства, вследствии употребления алкоголя. Синдром зависимости, конечная (третья) стадия. Каких-либо документов или иных доказательств, подтверждающих у гражданина наличия ремиссии, в ходе проверки не выявлено.</w:t>
      </w:r>
    </w:p>
    <w:p>
      <w:pPr>
        <w:pStyle w:val="BodyText"/>
      </w:pPr>
      <w:r>
        <w:t xml:space="preserve">По результатам проверки, в соответствии с ч. 1 ст. 39 КАС РФ, Перовской межрайонной прокуратурой г. Москвы в суд направлено административное исковое заявление о прекращении указанным гражданином права на управление транспортными средствами.</w:t>
      </w:r>
    </w:p>
    <w:p>
      <w:pPr>
        <w:pStyle w:val="BodyText"/>
      </w:pPr>
      <w:r>
        <w:t xml:space="preserve">Судебным решением от 14.12.2022 исковые требования прокурора в интересах неопределенного круга лиц удовлетворены.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http://novokosino.mos.ru/the-prosecutor-explained/detail/11314667.html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3146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3146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2025-07-15T02:43:17Z</dcterms:created>
  <dcterms:modified xsi:type="dcterms:W3CDTF">2025-07-15T02:43:17Z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