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d5baf4217ef3da37bf5a0ed4604beba82bace"/>
    <w:p>
      <w:pPr>
        <w:pStyle w:val="Heading3"/>
      </w:pPr>
      <w:r>
        <w:t xml:space="preserve">Межрайонной прокуратурой проведены проверочные мероприятия соблюдения требований жилищного законодательства.</w:t>
      </w:r>
    </w:p>
    <w:p>
      <w:pPr>
        <w:pStyle w:val="FirstParagraph"/>
      </w:pPr>
      <w:r>
        <w:t xml:space="preserve">25.11.2022</w:t>
      </w:r>
    </w:p>
    <w:p>
      <w:pPr>
        <w:pStyle w:val="BodyText"/>
      </w:pPr>
      <w:r>
        <w:t xml:space="preserve">Согласно ч. 1 ст. 157 Жилищного кодекса Российской Федерации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 нормативов потребления коммунальных услуг (в том числе нормативов накопления твердых коммунальных отходов), утверждаемых органами государственной власти субъектов Российской Федерации в порядке, установленном Правительством Российской Федерации. При расчете платы за коммунальные услуги для собственников помещений в многоквартирных домах, которые имеют установленную законодательством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учета, применяются повышающие коэффициенты к нормативу потребления соответствующего вида коммунальной услуги в размере и в порядке, которые установлены Правительством Российской Федерации.</w:t>
      </w:r>
    </w:p>
    <w:p>
      <w:pPr>
        <w:pStyle w:val="BodyText"/>
      </w:pPr>
      <w:r>
        <w:t xml:space="preserve">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 утверждены</w:t>
      </w:r>
      <w:r>
        <w:t xml:space="preserve"> </w:t>
      </w:r>
      <w:bookmarkStart w:id="20" w:name="Xebf8f4c71975f317d49d0338222879b2d6646b6"/>
      <w:r>
        <w:t xml:space="preserve">Правила предоставления коммунальных услуг собственникам и пользователям помещений в многоквартирных домах и жилых домов </w:t>
      </w:r>
      <w:bookmarkEnd w:id="20"/>
      <w:r>
        <w:t xml:space="preserve">(далее – Правила).</w:t>
      </w:r>
    </w:p>
    <w:p>
      <w:pPr>
        <w:pStyle w:val="BodyText"/>
      </w:pPr>
      <w:bookmarkStart w:id="21" w:name="Xebf8f4c71975f317d49d0338222879b2d6646b6"/>
      <w:bookmarkEnd w:id="21"/>
    </w:p>
    <w:p>
      <w:pPr>
        <w:pStyle w:val="BodyText"/>
      </w:pPr>
      <w:r>
        <w:t xml:space="preserve">Согласно п. 42 Правил при отсутствии индивидуального или общего (квартирного) прибора учета холодной воды, горячей воды, электрической энергии и в случае наличия обязанности установки такого прибора учета размер платы за коммунальную услугу по холодному водоснабжению, горячему водоснабжению и (или) электроснабжению, предоставленную потребителю в жилом помещении, определяется по формуле 4(1) приложения № 2 к настоящим Правилам исходя из норматива потребления коммунальной услуги по холодному водоснабжению, горячему водоснабжению и (или) электроснабжению с применением повышающего коэффициента «1,5», а в случае установления двухкомпонентных тарифов на горячую воду размер платы за коммунальную услугу по горячему водоснабжению, предоставленную потребителю за расчетный период в жилом помещении, которое не оснащено такими приборами учета, определяется по формуле 23(1) приложения № 2 к настоящим Правилам исходя из норматива потребления горячей воды с применением повышающего коэффициента.</w:t>
      </w:r>
    </w:p>
    <w:p>
      <w:pPr>
        <w:pStyle w:val="BodyText"/>
      </w:pPr>
      <w:bookmarkStart w:id="22" w:name="Xf4d52b81005a03e38505482bfe9c16311067a91"/>
      <w:r>
        <w:t xml:space="preserve">В ходе проверки установлено, что многоквартирный дом, расположенный по адресу: г. Москва, ул. Зеленый проспект, д. 89, к. 1 оборудован общедомовым прибором учета холодного водоснабжения.</w:t>
      </w:r>
      <w:r>
        <w:br/>
      </w:r>
      <w:r>
        <w:t xml:space="preserve">При этом не все квартиры в нем оборудованы индивидуальными приборами учета.</w:t>
      </w:r>
      <w:bookmarkEnd w:id="22"/>
    </w:p>
    <w:p>
      <w:pPr>
        <w:pStyle w:val="BodyText"/>
      </w:pPr>
      <w:r>
        <w:t xml:space="preserve">Согласно информации представленной ГБУ «ЕИРЦ» г. Москвы при расчете водопотребления по указанным квартирам до мая 2022 года применялся ограничивающий коэффициент «2».</w:t>
      </w:r>
    </w:p>
    <w:p>
      <w:pPr>
        <w:pStyle w:val="BodyText"/>
      </w:pPr>
      <w:r>
        <w:t xml:space="preserve">По результатам проведенной проверки в адрес ГБУ г. Москвы «Жилищник района Ивановское».</w:t>
      </w:r>
    </w:p>
    <w:p>
      <w:pPr>
        <w:pStyle w:val="BodyText"/>
      </w:pPr>
      <w:r>
        <w:t xml:space="preserve">По результатам рассмотрения представления собственникам квартир произведен перерасчет на сумму 319 608,66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http://novokosino.mos.ru/law-enforcement-and-security/the-information-of-the-prosecutor-s-office/news-of-the-prosecutor-s-office/detail/11250103.html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1250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1250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2024-09-24T00:31:04Z</dcterms:created>
  <dcterms:modified xsi:type="dcterms:W3CDTF">2024-09-24T00:31:04Z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