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f5b84dea685eed083c73a37f6d9fc48cae311"/>
    <w:p>
      <w:pPr>
        <w:pStyle w:val="Heading3"/>
      </w:pPr>
      <w:r>
        <w:t xml:space="preserve">Прокуратура ВАО г. Москвы разъясняет: административная ответственность за нарушение порядка или сроков предоставления сведений о несовершеннолетних, нуждающихся в передаче на воспитание в семью либо в учреждения для детей-сирот или для детей, оставшихся б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Нарушение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несовершеннолетнем, нуждающемся в передаче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родителей, а равно предоставление заведомо недостоверных сведений о таком несовершеннолетнем влечет наложение административного штрафа в размере от одной тысячи до одной тысячи пятисот рублей. Совершение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 действий, направленных на укрытие несовершеннолетнего от передачи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родителей, влечет наложение административного штрафа в размере от двух тысяч до трех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2024-08-16T08:46:24Z</dcterms:created>
  <dcterms:modified xsi:type="dcterms:W3CDTF">2024-08-16T08:46:24Z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